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B2" w:rsidRDefault="006A2CAB" w:rsidP="00DC59B2">
      <w:pPr>
        <w:jc w:val="center"/>
        <w:rPr>
          <w:b/>
          <w:sz w:val="36"/>
          <w:szCs w:val="36"/>
        </w:rPr>
      </w:pPr>
      <w:r>
        <w:rPr>
          <w:b/>
          <w:sz w:val="36"/>
          <w:szCs w:val="36"/>
        </w:rPr>
        <w:t xml:space="preserve"> </w:t>
      </w:r>
      <w:r w:rsidR="00DC59B2" w:rsidRPr="0016195E">
        <w:rPr>
          <w:b/>
          <w:sz w:val="36"/>
          <w:szCs w:val="36"/>
        </w:rPr>
        <w:t>NOTAS A LOS ESTADOS FINANCIEROS</w:t>
      </w:r>
    </w:p>
    <w:p w:rsidR="00DC59B2" w:rsidRDefault="00DC59B2" w:rsidP="00DC59B2">
      <w:pPr>
        <w:rPr>
          <w:sz w:val="24"/>
          <w:szCs w:val="24"/>
        </w:rPr>
      </w:pPr>
      <w:r w:rsidRPr="00D138BB">
        <w:rPr>
          <w:sz w:val="24"/>
          <w:szCs w:val="24"/>
        </w:rPr>
        <w:t xml:space="preserve">NOVIEMBRE 2020 </w:t>
      </w:r>
    </w:p>
    <w:p w:rsidR="00DC59B2" w:rsidRPr="0072361C" w:rsidRDefault="00DC59B2" w:rsidP="00DC59B2">
      <w:pPr>
        <w:rPr>
          <w:b/>
          <w:sz w:val="24"/>
          <w:szCs w:val="24"/>
        </w:rPr>
      </w:pPr>
      <w:r>
        <w:rPr>
          <w:b/>
          <w:sz w:val="24"/>
          <w:szCs w:val="24"/>
        </w:rPr>
        <w:t>NOTAS DE DESGLOSE</w:t>
      </w:r>
    </w:p>
    <w:p w:rsidR="00DC59B2" w:rsidRPr="0072361C" w:rsidRDefault="00DC59B2" w:rsidP="00DC59B2">
      <w:pPr>
        <w:pStyle w:val="Prrafodelista"/>
        <w:numPr>
          <w:ilvl w:val="0"/>
          <w:numId w:val="5"/>
        </w:numPr>
        <w:rPr>
          <w:sz w:val="24"/>
          <w:szCs w:val="24"/>
        </w:rPr>
      </w:pPr>
      <w:r w:rsidRPr="00AB5358">
        <w:rPr>
          <w:sz w:val="24"/>
          <w:szCs w:val="24"/>
        </w:rPr>
        <w:t>NOTAS AL ESTADO DE SITUACIÓN FINANCIERA:</w:t>
      </w:r>
    </w:p>
    <w:p w:rsidR="00DC59B2" w:rsidRPr="004F38F0" w:rsidRDefault="00DC59B2" w:rsidP="00DC59B2">
      <w:pPr>
        <w:ind w:left="708"/>
        <w:rPr>
          <w:b/>
          <w:sz w:val="24"/>
          <w:szCs w:val="24"/>
        </w:rPr>
      </w:pPr>
      <w:r w:rsidRPr="004F38F0">
        <w:rPr>
          <w:b/>
          <w:sz w:val="24"/>
          <w:szCs w:val="24"/>
        </w:rPr>
        <w:t>ACTIVO</w:t>
      </w:r>
    </w:p>
    <w:p w:rsidR="00DC59B2" w:rsidRPr="004F38F0" w:rsidRDefault="00DC59B2" w:rsidP="00DC59B2">
      <w:pPr>
        <w:ind w:left="708"/>
        <w:rPr>
          <w:b/>
          <w:sz w:val="24"/>
          <w:szCs w:val="24"/>
        </w:rPr>
      </w:pPr>
      <w:r w:rsidRPr="004F38F0">
        <w:rPr>
          <w:b/>
          <w:sz w:val="24"/>
          <w:szCs w:val="24"/>
        </w:rPr>
        <w:t>Efectivo y Equivalentes</w:t>
      </w:r>
    </w:p>
    <w:p w:rsidR="00DC59B2" w:rsidRDefault="00DC59B2" w:rsidP="00DC59B2">
      <w:pPr>
        <w:spacing w:after="0" w:line="240" w:lineRule="auto"/>
        <w:jc w:val="both"/>
        <w:rPr>
          <w:sz w:val="24"/>
          <w:szCs w:val="24"/>
        </w:rPr>
      </w:pPr>
      <w:r>
        <w:rPr>
          <w:sz w:val="24"/>
          <w:szCs w:val="24"/>
        </w:rPr>
        <w:t>En el rubro de efecti</w:t>
      </w:r>
      <w:r w:rsidR="00B81153">
        <w:rPr>
          <w:sz w:val="24"/>
          <w:szCs w:val="24"/>
        </w:rPr>
        <w:t>vo y equivalentes el saldo</w:t>
      </w:r>
      <w:r w:rsidR="00815567">
        <w:rPr>
          <w:sz w:val="24"/>
          <w:szCs w:val="24"/>
        </w:rPr>
        <w:t xml:space="preserve"> al 31</w:t>
      </w:r>
      <w:r>
        <w:rPr>
          <w:sz w:val="24"/>
          <w:szCs w:val="24"/>
        </w:rPr>
        <w:t xml:space="preserve"> d</w:t>
      </w:r>
      <w:r w:rsidR="00301C60">
        <w:rPr>
          <w:sz w:val="24"/>
          <w:szCs w:val="24"/>
        </w:rPr>
        <w:t>e diciembre es de $ 2,135.15</w:t>
      </w:r>
      <w:r w:rsidR="00B81153">
        <w:rPr>
          <w:sz w:val="24"/>
          <w:szCs w:val="24"/>
        </w:rPr>
        <w:t xml:space="preserve"> (</w:t>
      </w:r>
      <w:r w:rsidR="00301C60">
        <w:rPr>
          <w:sz w:val="24"/>
          <w:szCs w:val="24"/>
        </w:rPr>
        <w:t>Dos mil ciento treinta y cinco pesos 15</w:t>
      </w:r>
      <w:r>
        <w:rPr>
          <w:sz w:val="24"/>
          <w:szCs w:val="24"/>
        </w:rPr>
        <w:t>/100 M.N.) conformado de la siguiente manera:</w:t>
      </w:r>
    </w:p>
    <w:p w:rsidR="00301C60" w:rsidRDefault="00DC59B2" w:rsidP="00DC59B2">
      <w:pPr>
        <w:spacing w:after="0" w:line="240" w:lineRule="auto"/>
        <w:jc w:val="both"/>
        <w:rPr>
          <w:sz w:val="24"/>
          <w:szCs w:val="24"/>
        </w:rPr>
      </w:pPr>
      <w:r>
        <w:rPr>
          <w:sz w:val="24"/>
          <w:szCs w:val="24"/>
        </w:rPr>
        <w:t xml:space="preserve"> Por la cuenta bancaria No. 019743005 de BBVA, </w:t>
      </w:r>
      <w:r w:rsidR="00301C60">
        <w:rPr>
          <w:sz w:val="24"/>
          <w:szCs w:val="24"/>
        </w:rPr>
        <w:t>con un saldo de $ 2,135.13</w:t>
      </w:r>
    </w:p>
    <w:p w:rsidR="00DC59B2" w:rsidRDefault="00DC59B2" w:rsidP="00DC59B2">
      <w:pPr>
        <w:spacing w:after="0" w:line="240" w:lineRule="auto"/>
        <w:jc w:val="both"/>
        <w:rPr>
          <w:sz w:val="24"/>
          <w:szCs w:val="24"/>
        </w:rPr>
      </w:pPr>
      <w:r>
        <w:rPr>
          <w:sz w:val="24"/>
          <w:szCs w:val="24"/>
        </w:rPr>
        <w:t xml:space="preserve"> </w:t>
      </w:r>
      <w:r w:rsidR="00815567">
        <w:rPr>
          <w:sz w:val="24"/>
          <w:szCs w:val="24"/>
        </w:rPr>
        <w:t>(</w:t>
      </w:r>
      <w:r w:rsidR="00301C60">
        <w:rPr>
          <w:sz w:val="24"/>
          <w:szCs w:val="24"/>
        </w:rPr>
        <w:t xml:space="preserve">Dos mil ciento treinta y cinco pesos 13/100 M.N </w:t>
      </w:r>
      <w:r>
        <w:rPr>
          <w:sz w:val="24"/>
          <w:szCs w:val="24"/>
        </w:rPr>
        <w:t xml:space="preserve">Cuenta bancaria No. 022339204 de </w:t>
      </w:r>
      <w:proofErr w:type="spellStart"/>
      <w:r>
        <w:rPr>
          <w:sz w:val="24"/>
          <w:szCs w:val="24"/>
        </w:rPr>
        <w:t>BanBajío</w:t>
      </w:r>
      <w:proofErr w:type="spellEnd"/>
      <w:r>
        <w:rPr>
          <w:sz w:val="24"/>
          <w:szCs w:val="24"/>
        </w:rPr>
        <w:t xml:space="preserve"> Con un saldo de $ 0.02 (02/100 M.N.) Cuenta No. </w:t>
      </w:r>
      <w:r w:rsidRPr="002C6C86">
        <w:rPr>
          <w:sz w:val="24"/>
          <w:szCs w:val="24"/>
        </w:rPr>
        <w:t>022816639</w:t>
      </w:r>
      <w:r>
        <w:rPr>
          <w:sz w:val="24"/>
          <w:szCs w:val="24"/>
        </w:rPr>
        <w:t xml:space="preserve"> de </w:t>
      </w:r>
      <w:r w:rsidR="00815567">
        <w:rPr>
          <w:sz w:val="24"/>
          <w:szCs w:val="24"/>
        </w:rPr>
        <w:t xml:space="preserve">sin salvo </w:t>
      </w:r>
      <w:r>
        <w:rPr>
          <w:sz w:val="24"/>
          <w:szCs w:val="24"/>
        </w:rPr>
        <w:t>Respecto al fondo  fijo se integra de la siguiente manera:</w:t>
      </w:r>
    </w:p>
    <w:p w:rsidR="00DC59B2" w:rsidRDefault="00DC59B2" w:rsidP="00DC59B2">
      <w:pPr>
        <w:spacing w:after="0" w:line="240" w:lineRule="auto"/>
        <w:jc w:val="both"/>
        <w:rPr>
          <w:sz w:val="24"/>
          <w:szCs w:val="24"/>
        </w:rPr>
      </w:pPr>
      <w:r>
        <w:rPr>
          <w:sz w:val="24"/>
          <w:szCs w:val="24"/>
        </w:rPr>
        <w:t>Caja a favor de Edgar Bravo Espinoza Jefe de Departamento</w:t>
      </w:r>
      <w:r w:rsidR="00815567">
        <w:rPr>
          <w:sz w:val="24"/>
          <w:szCs w:val="24"/>
        </w:rPr>
        <w:t xml:space="preserve"> de Recursos Materiales $ 0.00</w:t>
      </w:r>
      <w:r>
        <w:rPr>
          <w:sz w:val="24"/>
          <w:szCs w:val="24"/>
        </w:rPr>
        <w:t xml:space="preserve"> </w:t>
      </w:r>
      <w:r w:rsidR="00815567">
        <w:rPr>
          <w:sz w:val="24"/>
          <w:szCs w:val="24"/>
        </w:rPr>
        <w:t>(00</w:t>
      </w:r>
      <w:r>
        <w:rPr>
          <w:sz w:val="24"/>
          <w:szCs w:val="24"/>
        </w:rPr>
        <w:t xml:space="preserve">/100  M.N.) </w:t>
      </w:r>
    </w:p>
    <w:p w:rsidR="00DC59B2" w:rsidRDefault="00DC59B2" w:rsidP="00DC59B2">
      <w:pPr>
        <w:spacing w:after="0" w:line="240" w:lineRule="auto"/>
        <w:jc w:val="both"/>
        <w:rPr>
          <w:sz w:val="24"/>
          <w:szCs w:val="24"/>
        </w:rPr>
      </w:pPr>
    </w:p>
    <w:p w:rsidR="00DC59B2" w:rsidRDefault="00DC59B2" w:rsidP="00DC59B2">
      <w:pPr>
        <w:spacing w:after="0" w:line="240" w:lineRule="auto"/>
        <w:jc w:val="both"/>
        <w:rPr>
          <w:sz w:val="24"/>
          <w:szCs w:val="24"/>
        </w:rPr>
      </w:pPr>
      <w:r>
        <w:rPr>
          <w:sz w:val="24"/>
          <w:szCs w:val="24"/>
        </w:rPr>
        <w:t xml:space="preserve"> </w:t>
      </w:r>
      <w:r w:rsidR="00301C60">
        <w:rPr>
          <w:sz w:val="24"/>
          <w:szCs w:val="24"/>
        </w:rPr>
        <w:t>Existen 3</w:t>
      </w:r>
      <w:r w:rsidRPr="00DF7D3E">
        <w:rPr>
          <w:sz w:val="24"/>
          <w:szCs w:val="24"/>
        </w:rPr>
        <w:t xml:space="preserve"> cheques en tránsito ex</w:t>
      </w:r>
      <w:r>
        <w:rPr>
          <w:sz w:val="24"/>
          <w:szCs w:val="24"/>
        </w:rPr>
        <w:t xml:space="preserve">pedidos de la </w:t>
      </w:r>
      <w:r w:rsidRPr="00615990">
        <w:rPr>
          <w:sz w:val="24"/>
          <w:szCs w:val="24"/>
        </w:rPr>
        <w:t xml:space="preserve">cuenta de BBVA que aún no han sido cobrados por sus beneficiarios, los cuales suman un importe de $ </w:t>
      </w:r>
      <w:r w:rsidR="00301C60" w:rsidRPr="00615990">
        <w:rPr>
          <w:sz w:val="24"/>
          <w:szCs w:val="24"/>
        </w:rPr>
        <w:t>429,827.13</w:t>
      </w:r>
      <w:r w:rsidRPr="00615990">
        <w:rPr>
          <w:sz w:val="24"/>
          <w:szCs w:val="24"/>
        </w:rPr>
        <w:t xml:space="preserve"> (</w:t>
      </w:r>
      <w:r w:rsidR="00301C60" w:rsidRPr="00615990">
        <w:rPr>
          <w:sz w:val="24"/>
          <w:szCs w:val="24"/>
        </w:rPr>
        <w:t xml:space="preserve">Cuatrocientos  veintinueve mil ochocientos veinte </w:t>
      </w:r>
      <w:r w:rsidR="00456790" w:rsidRPr="00615990">
        <w:rPr>
          <w:sz w:val="24"/>
          <w:szCs w:val="24"/>
        </w:rPr>
        <w:t xml:space="preserve">pesos </w:t>
      </w:r>
      <w:r w:rsidR="00301C60" w:rsidRPr="00615990">
        <w:rPr>
          <w:sz w:val="24"/>
          <w:szCs w:val="24"/>
        </w:rPr>
        <w:t xml:space="preserve">  13</w:t>
      </w:r>
      <w:r w:rsidRPr="00615990">
        <w:rPr>
          <w:sz w:val="24"/>
          <w:szCs w:val="24"/>
        </w:rPr>
        <w:t xml:space="preserve">/100 M.N),  y  0 cheques en tránsito de la cuenta de </w:t>
      </w:r>
      <w:proofErr w:type="spellStart"/>
      <w:r w:rsidRPr="00615990">
        <w:rPr>
          <w:sz w:val="24"/>
          <w:szCs w:val="24"/>
        </w:rPr>
        <w:t>BanBajío</w:t>
      </w:r>
      <w:proofErr w:type="spellEnd"/>
      <w:r w:rsidRPr="00615990">
        <w:rPr>
          <w:sz w:val="24"/>
          <w:szCs w:val="24"/>
        </w:rPr>
        <w:t>,</w:t>
      </w:r>
      <w:r>
        <w:rPr>
          <w:sz w:val="24"/>
          <w:szCs w:val="24"/>
        </w:rPr>
        <w:t xml:space="preserve"> </w:t>
      </w:r>
    </w:p>
    <w:p w:rsidR="00D138BB" w:rsidRDefault="00D138BB" w:rsidP="00DC59B2">
      <w:pPr>
        <w:spacing w:after="0" w:line="240" w:lineRule="auto"/>
        <w:jc w:val="both"/>
        <w:rPr>
          <w:sz w:val="24"/>
          <w:szCs w:val="24"/>
        </w:rPr>
      </w:pPr>
    </w:p>
    <w:p w:rsidR="00D138BB" w:rsidRPr="009B578E" w:rsidRDefault="00D138BB" w:rsidP="00D138BB">
      <w:pPr>
        <w:pStyle w:val="Prrafodelista"/>
        <w:rPr>
          <w:sz w:val="24"/>
          <w:szCs w:val="24"/>
        </w:rPr>
      </w:pPr>
      <w:r w:rsidRPr="009B578E">
        <w:rPr>
          <w:sz w:val="24"/>
          <w:szCs w:val="24"/>
        </w:rPr>
        <w:t xml:space="preserve">Efectivo y equivalentes   </w:t>
      </w:r>
    </w:p>
    <w:p w:rsidR="00D138BB" w:rsidRPr="009B578E" w:rsidRDefault="00D138BB" w:rsidP="00D138BB">
      <w:pPr>
        <w:pStyle w:val="Prrafodelista"/>
        <w:rPr>
          <w:sz w:val="24"/>
          <w:szCs w:val="24"/>
        </w:rPr>
      </w:pPr>
    </w:p>
    <w:tbl>
      <w:tblPr>
        <w:tblW w:w="7839" w:type="dxa"/>
        <w:tblInd w:w="661" w:type="dxa"/>
        <w:tblCellMar>
          <w:left w:w="70" w:type="dxa"/>
          <w:right w:w="70" w:type="dxa"/>
        </w:tblCellMar>
        <w:tblLook w:val="04A0" w:firstRow="1" w:lastRow="0" w:firstColumn="1" w:lastColumn="0" w:noHBand="0" w:noVBand="1"/>
      </w:tblPr>
      <w:tblGrid>
        <w:gridCol w:w="3860"/>
        <w:gridCol w:w="1805"/>
        <w:gridCol w:w="2174"/>
      </w:tblGrid>
      <w:tr w:rsidR="00D138BB" w:rsidRPr="009B578E" w:rsidTr="00815567">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jc w:val="center"/>
              <w:rPr>
                <w:rFonts w:ascii="Calibri" w:eastAsia="Times New Roman" w:hAnsi="Calibri" w:cs="Times New Roman"/>
                <w:lang w:eastAsia="es-MX"/>
              </w:rPr>
            </w:pPr>
            <w:r w:rsidRPr="009B578E">
              <w:rPr>
                <w:rFonts w:ascii="Calibri" w:eastAsia="Times New Roman" w:hAnsi="Calibri" w:cs="Times New Roman"/>
                <w:lang w:eastAsia="es-MX"/>
              </w:rPr>
              <w:t>2020</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jc w:val="center"/>
              <w:rPr>
                <w:rFonts w:ascii="Calibri" w:eastAsia="Times New Roman" w:hAnsi="Calibri" w:cs="Times New Roman"/>
                <w:lang w:eastAsia="es-MX"/>
              </w:rPr>
            </w:pPr>
            <w:r w:rsidRPr="009B578E">
              <w:rPr>
                <w:rFonts w:ascii="Calibri" w:eastAsia="Times New Roman" w:hAnsi="Calibri" w:cs="Times New Roman"/>
                <w:lang w:eastAsia="es-MX"/>
              </w:rPr>
              <w:t>2019</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Efectivo en Bancos-Tesorería</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Efectivo en Bancos-Dependencias</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301C60" w:rsidP="00815567">
            <w:pPr>
              <w:spacing w:after="0" w:line="240" w:lineRule="auto"/>
              <w:rPr>
                <w:rFonts w:ascii="Calibri" w:eastAsia="Times New Roman" w:hAnsi="Calibri" w:cs="Times New Roman"/>
                <w:lang w:eastAsia="es-MX"/>
              </w:rPr>
            </w:pPr>
            <w:r>
              <w:rPr>
                <w:rFonts w:ascii="Calibri" w:eastAsia="Times New Roman" w:hAnsi="Calibri" w:cs="Times New Roman"/>
                <w:lang w:eastAsia="es-MX"/>
              </w:rPr>
              <w:t xml:space="preserve"> $ 2,135.15</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$ 19´138,311.47</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Inversiones temporales (hasta 3 meses)</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Fondos con afectación específica</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   </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Depósitos de fondos de terceros y otros</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 xml:space="preserve"> $                            -</w:t>
            </w:r>
          </w:p>
        </w:tc>
      </w:tr>
      <w:tr w:rsidR="00D138BB" w:rsidRPr="009B578E"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lang w:eastAsia="es-MX"/>
              </w:rPr>
            </w:pPr>
            <w:r w:rsidRPr="009B578E">
              <w:rPr>
                <w:rFonts w:ascii="Calibri" w:eastAsia="Times New Roman" w:hAnsi="Calibri" w:cs="Times New Roman"/>
                <w:lang w:eastAsia="es-MX"/>
              </w:rPr>
              <w:t>Total de efectivo y equivalentes</w:t>
            </w:r>
          </w:p>
        </w:tc>
        <w:tc>
          <w:tcPr>
            <w:tcW w:w="1805" w:type="dxa"/>
            <w:tcBorders>
              <w:top w:val="nil"/>
              <w:left w:val="nil"/>
              <w:bottom w:val="single" w:sz="4" w:space="0" w:color="auto"/>
              <w:right w:val="single" w:sz="4" w:space="0" w:color="auto"/>
            </w:tcBorders>
            <w:shd w:val="clear" w:color="auto" w:fill="auto"/>
            <w:noWrap/>
            <w:vAlign w:val="bottom"/>
            <w:hideMark/>
          </w:tcPr>
          <w:p w:rsidR="00D138BB" w:rsidRPr="009B578E" w:rsidRDefault="00301C60" w:rsidP="00815567">
            <w:pPr>
              <w:spacing w:after="0" w:line="240" w:lineRule="auto"/>
              <w:rPr>
                <w:rFonts w:ascii="Calibri" w:eastAsia="Times New Roman" w:hAnsi="Calibri" w:cs="Times New Roman"/>
                <w:bCs/>
                <w:lang w:eastAsia="es-MX"/>
              </w:rPr>
            </w:pPr>
            <w:r>
              <w:rPr>
                <w:rFonts w:ascii="Calibri" w:eastAsia="Times New Roman" w:hAnsi="Calibri" w:cs="Times New Roman"/>
                <w:bCs/>
                <w:lang w:eastAsia="es-MX"/>
              </w:rPr>
              <w:t xml:space="preserve"> $ 2,135.15</w:t>
            </w:r>
          </w:p>
        </w:tc>
        <w:tc>
          <w:tcPr>
            <w:tcW w:w="2174" w:type="dxa"/>
            <w:tcBorders>
              <w:top w:val="nil"/>
              <w:left w:val="nil"/>
              <w:bottom w:val="single" w:sz="4" w:space="0" w:color="auto"/>
              <w:right w:val="single" w:sz="4" w:space="0" w:color="auto"/>
            </w:tcBorders>
            <w:shd w:val="clear" w:color="auto" w:fill="auto"/>
            <w:noWrap/>
            <w:vAlign w:val="bottom"/>
            <w:hideMark/>
          </w:tcPr>
          <w:p w:rsidR="00D138BB" w:rsidRPr="009B578E" w:rsidRDefault="00D138BB" w:rsidP="00815567">
            <w:pPr>
              <w:spacing w:after="0" w:line="240" w:lineRule="auto"/>
              <w:rPr>
                <w:rFonts w:ascii="Calibri" w:eastAsia="Times New Roman" w:hAnsi="Calibri" w:cs="Times New Roman"/>
                <w:bCs/>
                <w:lang w:eastAsia="es-MX"/>
              </w:rPr>
            </w:pPr>
            <w:r w:rsidRPr="009B578E">
              <w:rPr>
                <w:rFonts w:ascii="Calibri" w:eastAsia="Times New Roman" w:hAnsi="Calibri" w:cs="Times New Roman"/>
                <w:bCs/>
                <w:lang w:eastAsia="es-MX"/>
              </w:rPr>
              <w:t xml:space="preserve"> $  19´138,311.47</w:t>
            </w:r>
          </w:p>
        </w:tc>
      </w:tr>
    </w:tbl>
    <w:p w:rsidR="00D138BB" w:rsidRDefault="00D138BB" w:rsidP="00DC59B2">
      <w:pPr>
        <w:spacing w:after="0" w:line="240" w:lineRule="auto"/>
        <w:jc w:val="both"/>
        <w:rPr>
          <w:sz w:val="24"/>
          <w:szCs w:val="24"/>
        </w:rPr>
      </w:pPr>
    </w:p>
    <w:p w:rsidR="00DC59B2" w:rsidRPr="002C6C86" w:rsidRDefault="00DC59B2" w:rsidP="00DC59B2">
      <w:pPr>
        <w:spacing w:after="0" w:line="240" w:lineRule="auto"/>
        <w:rPr>
          <w:sz w:val="24"/>
          <w:szCs w:val="24"/>
        </w:rPr>
      </w:pPr>
    </w:p>
    <w:p w:rsidR="00DC59B2" w:rsidRPr="00C75F0D" w:rsidRDefault="00DC59B2" w:rsidP="006B0354">
      <w:pPr>
        <w:jc w:val="both"/>
        <w:rPr>
          <w:b/>
          <w:sz w:val="24"/>
          <w:szCs w:val="24"/>
        </w:rPr>
      </w:pPr>
      <w:r w:rsidRPr="00C75F0D">
        <w:rPr>
          <w:b/>
          <w:sz w:val="24"/>
          <w:szCs w:val="24"/>
        </w:rPr>
        <w:t>Derecho a recibir Efectivo y Equivalentes y Bienes o Servicios a Recibir</w:t>
      </w:r>
    </w:p>
    <w:p w:rsidR="003935EB" w:rsidRPr="006B0354" w:rsidRDefault="00040C99" w:rsidP="006B0354">
      <w:pPr>
        <w:jc w:val="both"/>
        <w:rPr>
          <w:sz w:val="24"/>
          <w:szCs w:val="24"/>
        </w:rPr>
      </w:pPr>
      <w:r w:rsidRPr="006B0354">
        <w:rPr>
          <w:sz w:val="24"/>
          <w:szCs w:val="24"/>
        </w:rPr>
        <w:t>El rubro de Derechos a recibir efectivo o equivalentes</w:t>
      </w:r>
      <w:r w:rsidR="003935EB" w:rsidRPr="006B0354">
        <w:rPr>
          <w:sz w:val="24"/>
          <w:szCs w:val="24"/>
        </w:rPr>
        <w:t xml:space="preserve"> el cual asciende </w:t>
      </w:r>
      <w:r w:rsidR="003935EB" w:rsidRPr="006B0354">
        <w:rPr>
          <w:b/>
          <w:sz w:val="24"/>
          <w:szCs w:val="24"/>
        </w:rPr>
        <w:t>$10´811,338.47 (Diez millones ochocientos once mil trescientos treinta y ocho pesos 47/100  M.N.),</w:t>
      </w:r>
      <w:r w:rsidRPr="006B0354">
        <w:rPr>
          <w:sz w:val="24"/>
          <w:szCs w:val="24"/>
        </w:rPr>
        <w:t xml:space="preserve"> está </w:t>
      </w:r>
      <w:r w:rsidRPr="006B0354">
        <w:rPr>
          <w:sz w:val="24"/>
          <w:szCs w:val="24"/>
        </w:rPr>
        <w:lastRenderedPageBreak/>
        <w:t xml:space="preserve">conformado principalmente, por </w:t>
      </w:r>
      <w:r w:rsidR="00F8086B" w:rsidRPr="006B0354">
        <w:rPr>
          <w:sz w:val="24"/>
          <w:szCs w:val="24"/>
        </w:rPr>
        <w:t>los importes pendientes</w:t>
      </w:r>
      <w:r w:rsidRPr="006B0354">
        <w:rPr>
          <w:sz w:val="24"/>
          <w:szCs w:val="24"/>
        </w:rPr>
        <w:t xml:space="preserve"> de ministrar</w:t>
      </w:r>
      <w:r w:rsidR="003935EB" w:rsidRPr="006B0354">
        <w:rPr>
          <w:sz w:val="24"/>
          <w:szCs w:val="24"/>
        </w:rPr>
        <w:t xml:space="preserve"> por parte Secretaria de Finanzas y Administración a este órgano jurisdiccional autónomo</w:t>
      </w:r>
      <w:r w:rsidR="00F8086B" w:rsidRPr="006B0354">
        <w:rPr>
          <w:sz w:val="24"/>
          <w:szCs w:val="24"/>
        </w:rPr>
        <w:t xml:space="preserve"> conformados de la siguiente manera:</w:t>
      </w:r>
    </w:p>
    <w:p w:rsidR="003935EB" w:rsidRDefault="003935EB" w:rsidP="00DC59B2">
      <w:pPr>
        <w:pStyle w:val="Prrafodelista"/>
        <w:jc w:val="both"/>
        <w:rPr>
          <w:sz w:val="24"/>
          <w:szCs w:val="24"/>
        </w:rPr>
      </w:pPr>
    </w:p>
    <w:p w:rsidR="00D10A09" w:rsidRPr="006B0354" w:rsidRDefault="003935EB" w:rsidP="006B0354">
      <w:pPr>
        <w:jc w:val="both"/>
        <w:rPr>
          <w:sz w:val="24"/>
          <w:szCs w:val="24"/>
        </w:rPr>
      </w:pPr>
      <w:r w:rsidRPr="006B0354">
        <w:rPr>
          <w:sz w:val="24"/>
          <w:szCs w:val="24"/>
        </w:rPr>
        <w:t xml:space="preserve"> A</w:t>
      </w:r>
      <w:r w:rsidR="00040C99" w:rsidRPr="006B0354">
        <w:rPr>
          <w:sz w:val="24"/>
          <w:szCs w:val="24"/>
        </w:rPr>
        <w:t xml:space="preserve">l 31 de diciembre de 2020 a </w:t>
      </w:r>
      <w:r w:rsidR="00040C99" w:rsidRPr="006B0354">
        <w:rPr>
          <w:b/>
          <w:sz w:val="24"/>
          <w:szCs w:val="24"/>
        </w:rPr>
        <w:t>$5´340</w:t>
      </w:r>
      <w:r w:rsidRPr="006B0354">
        <w:rPr>
          <w:b/>
          <w:sz w:val="24"/>
          <w:szCs w:val="24"/>
        </w:rPr>
        <w:t>,935</w:t>
      </w:r>
      <w:r w:rsidR="00040C99" w:rsidRPr="006B0354">
        <w:rPr>
          <w:b/>
          <w:sz w:val="24"/>
          <w:szCs w:val="24"/>
        </w:rPr>
        <w:t xml:space="preserve"> (Cinco millones </w:t>
      </w:r>
      <w:r w:rsidRPr="006B0354">
        <w:rPr>
          <w:b/>
          <w:sz w:val="24"/>
          <w:szCs w:val="24"/>
        </w:rPr>
        <w:t>trescientos cuarenta mil novecientos treinta y cinco pesos 00</w:t>
      </w:r>
      <w:r w:rsidR="00040C99" w:rsidRPr="006B0354">
        <w:rPr>
          <w:b/>
          <w:sz w:val="24"/>
          <w:szCs w:val="24"/>
        </w:rPr>
        <w:t>/100 M.N.),</w:t>
      </w:r>
      <w:r w:rsidR="00040C99" w:rsidRPr="006B0354">
        <w:rPr>
          <w:sz w:val="24"/>
          <w:szCs w:val="24"/>
        </w:rPr>
        <w:t xml:space="preserve"> </w:t>
      </w:r>
      <w:r w:rsidR="00D10A09" w:rsidRPr="006B0354">
        <w:rPr>
          <w:sz w:val="24"/>
          <w:szCs w:val="24"/>
        </w:rPr>
        <w:t>correspondiente al gasto operativo que no fue depositado por la Secretaria de Finanzas y Administración.</w:t>
      </w:r>
      <w:r w:rsidR="00D10A09" w:rsidRPr="006B0354">
        <w:rPr>
          <w:b/>
          <w:sz w:val="24"/>
          <w:szCs w:val="24"/>
        </w:rPr>
        <w:t xml:space="preserve"> Se anexa oficios número TEEM-SA238/2020, TEEM-P-365/2020, TEEM-P-413/2020, TEEM-P-427/2020, TEEM-P-468/2020, TEEM-P-493/2020, TEEM-P-003/20</w:t>
      </w:r>
      <w:bookmarkStart w:id="0" w:name="_GoBack"/>
      <w:bookmarkEnd w:id="0"/>
      <w:r w:rsidR="00D10A09" w:rsidRPr="006B0354">
        <w:rPr>
          <w:b/>
          <w:sz w:val="24"/>
          <w:szCs w:val="24"/>
        </w:rPr>
        <w:t>21, TEEM-P-014/2021 y TEEM-P-034/2021 se solicitud de recurso a la Secretaria de Finanzas y Administración y a la Auditoria Superior de Michoacán.</w:t>
      </w:r>
    </w:p>
    <w:p w:rsidR="002E6440" w:rsidRPr="006B0354" w:rsidRDefault="00D10A09" w:rsidP="006B0354">
      <w:pPr>
        <w:jc w:val="both"/>
        <w:rPr>
          <w:sz w:val="24"/>
          <w:szCs w:val="24"/>
        </w:rPr>
      </w:pPr>
      <w:r w:rsidRPr="006B0354">
        <w:rPr>
          <w:sz w:val="24"/>
          <w:szCs w:val="24"/>
        </w:rPr>
        <w:t xml:space="preserve"> Así como</w:t>
      </w:r>
      <w:r w:rsidR="003935EB" w:rsidRPr="006B0354">
        <w:rPr>
          <w:sz w:val="24"/>
          <w:szCs w:val="24"/>
        </w:rPr>
        <w:t xml:space="preserve"> al 31  de diciembre de 2017</w:t>
      </w:r>
      <w:r w:rsidR="00040C99" w:rsidRPr="006B0354">
        <w:rPr>
          <w:sz w:val="24"/>
          <w:szCs w:val="24"/>
        </w:rPr>
        <w:t xml:space="preserve"> quedado un importe por ministrar por parte de la Secretaria de Finanzas y Administración </w:t>
      </w:r>
      <w:r w:rsidR="003935EB" w:rsidRPr="006B0354">
        <w:rPr>
          <w:b/>
          <w:sz w:val="24"/>
          <w:szCs w:val="24"/>
        </w:rPr>
        <w:t>$5´242,143.50 (Cinco millones doscientos cuarenta y dos mil ciento cuarenta y tres pesos 50/100 M.N.)</w:t>
      </w:r>
      <w:r w:rsidR="00F8086B" w:rsidRPr="006B0354">
        <w:rPr>
          <w:b/>
          <w:sz w:val="24"/>
          <w:szCs w:val="24"/>
        </w:rPr>
        <w:t>.</w:t>
      </w:r>
      <w:r w:rsidR="003935EB" w:rsidRPr="006B0354">
        <w:rPr>
          <w:b/>
          <w:sz w:val="24"/>
          <w:szCs w:val="24"/>
        </w:rPr>
        <w:t xml:space="preserve"> </w:t>
      </w:r>
    </w:p>
    <w:p w:rsidR="003935EB" w:rsidRDefault="003935EB" w:rsidP="00DC59B2">
      <w:pPr>
        <w:pStyle w:val="Prrafodelista"/>
        <w:jc w:val="both"/>
        <w:rPr>
          <w:sz w:val="24"/>
          <w:szCs w:val="24"/>
        </w:rPr>
      </w:pPr>
    </w:p>
    <w:p w:rsidR="00DC59B2" w:rsidRPr="006B0354" w:rsidRDefault="003935EB" w:rsidP="006B0354">
      <w:pPr>
        <w:jc w:val="both"/>
        <w:rPr>
          <w:sz w:val="24"/>
          <w:szCs w:val="24"/>
        </w:rPr>
      </w:pPr>
      <w:r w:rsidRPr="006B0354">
        <w:rPr>
          <w:sz w:val="24"/>
          <w:szCs w:val="24"/>
        </w:rPr>
        <w:t xml:space="preserve"> La cuenta de Deudores Diversos, la cual refleja un adeudo de la Secretaría de Finanzas y Administración por $186,755.92 (Ciento ochenta y seis mil setecientos cincuenta y cinco pesos 92/100 M.N.) por concepto del subsidio para gastos de operación de la primera quincena del mes de abril de 2016 que a la fecha no le ha sido cubierto a este órgano jurisdiccional. Cabe mencionar también que en la cuenta 1123 Deudores Diversos, hay un saldo de $41,105.38 (Cuarenta y un mil ciento cinco pesos 38/100 M.N.) a nombre del C.P. J. Refugio Zúñiga Flores, el cual al cierre del ejercicio 2014 formaba parte de un fondo de caja, sin embargo se reclasificó a esta cuenta de Deudores en el mes de enero de 2017, debido a que está pendiente de comprobarse este monto o en su caso reintegrarse, para tal efecto se ha girado oficio al C.P. Zúñiga Flores a efecto de que aclare la situación sin que hasta la fecha se haya resuelto. Todos los conceptos conformantes de este rubro serán recuperables conforme se realice y atienda la gestión de cobro de cada uno de ellos, excepto la parte de las ministraciones pendientes, las cuales dependerán en todo caso de la Secretaría de Finanzas y Administración. </w:t>
      </w:r>
    </w:p>
    <w:p w:rsidR="00DC59B2" w:rsidRPr="00C75F0D" w:rsidRDefault="00DC59B2" w:rsidP="006B0354">
      <w:pPr>
        <w:jc w:val="both"/>
        <w:rPr>
          <w:b/>
          <w:sz w:val="24"/>
          <w:szCs w:val="24"/>
        </w:rPr>
      </w:pPr>
      <w:r w:rsidRPr="00C75F0D">
        <w:rPr>
          <w:b/>
          <w:sz w:val="24"/>
          <w:szCs w:val="24"/>
        </w:rPr>
        <w:t>Otros activos circulantes</w:t>
      </w:r>
    </w:p>
    <w:p w:rsidR="00DC59B2" w:rsidRDefault="00DC59B2" w:rsidP="006B0354">
      <w:pPr>
        <w:jc w:val="both"/>
        <w:rPr>
          <w:sz w:val="24"/>
          <w:szCs w:val="24"/>
        </w:rPr>
      </w:pPr>
      <w:r w:rsidRPr="00C75F0D">
        <w:rPr>
          <w:sz w:val="24"/>
          <w:szCs w:val="24"/>
        </w:rPr>
        <w:t>Se tiene en otros acti</w:t>
      </w:r>
      <w:r>
        <w:rPr>
          <w:sz w:val="24"/>
          <w:szCs w:val="24"/>
        </w:rPr>
        <w:t>vos circulantes un importe de $</w:t>
      </w:r>
      <w:r w:rsidRPr="00C75F0D">
        <w:rPr>
          <w:sz w:val="24"/>
          <w:szCs w:val="24"/>
        </w:rPr>
        <w:t>13,464.00</w:t>
      </w:r>
      <w:r>
        <w:rPr>
          <w:sz w:val="24"/>
          <w:szCs w:val="24"/>
        </w:rPr>
        <w:t xml:space="preserve"> (Trece mil cuatrocientos sesenta y cuatro pesos 00/100 M.N.)</w:t>
      </w:r>
      <w:r w:rsidRPr="00C75F0D">
        <w:rPr>
          <w:sz w:val="24"/>
          <w:szCs w:val="24"/>
        </w:rPr>
        <w:t xml:space="preserve"> correspondientes a depósitos en garantía dejados a los arrendadores de los inmuebles que ocupa</w:t>
      </w:r>
      <w:r>
        <w:rPr>
          <w:sz w:val="24"/>
          <w:szCs w:val="24"/>
        </w:rPr>
        <w:t xml:space="preserve"> La Secretaria Ad</w:t>
      </w:r>
      <w:r w:rsidR="00976357">
        <w:rPr>
          <w:sz w:val="24"/>
          <w:szCs w:val="24"/>
        </w:rPr>
        <w:t xml:space="preserve">ministrativa y el Archivo del  </w:t>
      </w:r>
      <w:r>
        <w:rPr>
          <w:sz w:val="24"/>
          <w:szCs w:val="24"/>
        </w:rPr>
        <w:t xml:space="preserve"> </w:t>
      </w:r>
      <w:r w:rsidRPr="00C75F0D">
        <w:rPr>
          <w:sz w:val="24"/>
          <w:szCs w:val="24"/>
        </w:rPr>
        <w:t xml:space="preserve"> Tribunal Electoral del Estado en los domicilios de Juan B. Fuentes No. 121 y 124.</w:t>
      </w:r>
      <w:r>
        <w:rPr>
          <w:sz w:val="24"/>
          <w:szCs w:val="24"/>
        </w:rPr>
        <w:t xml:space="preserve"> Colonia Chapultepec Oriente CP 58260 respectivamente</w:t>
      </w:r>
    </w:p>
    <w:p w:rsidR="00F8086B" w:rsidRPr="00C75F0D" w:rsidRDefault="00F8086B" w:rsidP="00DC59B2">
      <w:pPr>
        <w:ind w:left="708"/>
        <w:jc w:val="both"/>
        <w:rPr>
          <w:sz w:val="24"/>
          <w:szCs w:val="24"/>
        </w:rPr>
      </w:pPr>
    </w:p>
    <w:p w:rsidR="00DC59B2" w:rsidRPr="006B0354" w:rsidRDefault="00DC59B2" w:rsidP="006B0354">
      <w:pPr>
        <w:jc w:val="both"/>
        <w:rPr>
          <w:b/>
          <w:sz w:val="24"/>
          <w:szCs w:val="24"/>
        </w:rPr>
      </w:pPr>
      <w:r w:rsidRPr="006B0354">
        <w:rPr>
          <w:b/>
          <w:sz w:val="24"/>
          <w:szCs w:val="24"/>
        </w:rPr>
        <w:lastRenderedPageBreak/>
        <w:t>Bienes Disponibles para su Transformación o Consumo (Inventarios).</w:t>
      </w:r>
    </w:p>
    <w:p w:rsidR="00DC59B2" w:rsidRPr="00C75F0D" w:rsidRDefault="00DC59B2" w:rsidP="006B0354">
      <w:pPr>
        <w:jc w:val="both"/>
        <w:rPr>
          <w:sz w:val="24"/>
          <w:szCs w:val="24"/>
        </w:rPr>
      </w:pPr>
      <w:r w:rsidRPr="00C75F0D">
        <w:rPr>
          <w:sz w:val="24"/>
          <w:szCs w:val="24"/>
        </w:rPr>
        <w:t>No se cuenta con Bienes disponibles para su transformación o consumo.</w:t>
      </w:r>
    </w:p>
    <w:p w:rsidR="00DC59B2" w:rsidRPr="00C75F0D" w:rsidRDefault="00DC59B2" w:rsidP="006B0354">
      <w:pPr>
        <w:jc w:val="both"/>
        <w:rPr>
          <w:b/>
          <w:sz w:val="24"/>
          <w:szCs w:val="24"/>
        </w:rPr>
      </w:pPr>
      <w:r w:rsidRPr="00C75F0D">
        <w:rPr>
          <w:b/>
          <w:sz w:val="24"/>
          <w:szCs w:val="24"/>
        </w:rPr>
        <w:t>Inversiones Financieras</w:t>
      </w:r>
    </w:p>
    <w:p w:rsidR="00DC59B2" w:rsidRPr="00C75F0D" w:rsidRDefault="00DC59B2" w:rsidP="00DC59B2">
      <w:pPr>
        <w:jc w:val="both"/>
        <w:rPr>
          <w:sz w:val="24"/>
          <w:szCs w:val="24"/>
        </w:rPr>
      </w:pPr>
      <w:r w:rsidRPr="00C75F0D">
        <w:rPr>
          <w:sz w:val="24"/>
          <w:szCs w:val="24"/>
        </w:rPr>
        <w:t>No se cue</w:t>
      </w:r>
      <w:r>
        <w:rPr>
          <w:sz w:val="24"/>
          <w:szCs w:val="24"/>
        </w:rPr>
        <w:t>nta con inversiones financieras</w:t>
      </w:r>
    </w:p>
    <w:p w:rsidR="00DC59B2" w:rsidRPr="00C75F0D" w:rsidRDefault="00DC59B2" w:rsidP="006B0354">
      <w:pPr>
        <w:jc w:val="both"/>
        <w:rPr>
          <w:b/>
          <w:sz w:val="24"/>
          <w:szCs w:val="24"/>
        </w:rPr>
      </w:pPr>
      <w:r w:rsidRPr="00C75F0D">
        <w:rPr>
          <w:b/>
          <w:sz w:val="24"/>
          <w:szCs w:val="24"/>
        </w:rPr>
        <w:t>Bienes Muebles, Inmuebles e Intangibles</w:t>
      </w:r>
    </w:p>
    <w:p w:rsidR="00DC59B2" w:rsidRDefault="00DC59B2" w:rsidP="006B0354">
      <w:pPr>
        <w:jc w:val="both"/>
        <w:rPr>
          <w:sz w:val="24"/>
          <w:szCs w:val="24"/>
        </w:rPr>
      </w:pPr>
      <w:r w:rsidRPr="00C75F0D">
        <w:rPr>
          <w:sz w:val="24"/>
          <w:szCs w:val="24"/>
        </w:rPr>
        <w:t xml:space="preserve">En el Activo No Circulante los saldos de las cuentas reflejan el valor de los bienes muebles con los que cuenta la entidad, </w:t>
      </w:r>
      <w:r>
        <w:rPr>
          <w:sz w:val="24"/>
          <w:szCs w:val="24"/>
        </w:rPr>
        <w:t>siendo los más representativos 13</w:t>
      </w:r>
      <w:r w:rsidRPr="00C75F0D">
        <w:rPr>
          <w:sz w:val="24"/>
          <w:szCs w:val="24"/>
        </w:rPr>
        <w:t xml:space="preserve"> vehículos automotores, Toyota </w:t>
      </w:r>
      <w:proofErr w:type="spellStart"/>
      <w:r w:rsidRPr="00C75F0D">
        <w:rPr>
          <w:sz w:val="24"/>
          <w:szCs w:val="24"/>
        </w:rPr>
        <w:t>Camry</w:t>
      </w:r>
      <w:proofErr w:type="spellEnd"/>
      <w:r w:rsidRPr="00C75F0D">
        <w:rPr>
          <w:sz w:val="24"/>
          <w:szCs w:val="24"/>
        </w:rPr>
        <w:t xml:space="preserve"> 2014, Nissan </w:t>
      </w:r>
      <w:proofErr w:type="spellStart"/>
      <w:r w:rsidRPr="00C75F0D">
        <w:rPr>
          <w:sz w:val="24"/>
          <w:szCs w:val="24"/>
        </w:rPr>
        <w:t>Tiida</w:t>
      </w:r>
      <w:proofErr w:type="spellEnd"/>
      <w:r w:rsidRPr="00C75F0D">
        <w:rPr>
          <w:sz w:val="24"/>
          <w:szCs w:val="24"/>
        </w:rPr>
        <w:t xml:space="preserve"> 2015,</w:t>
      </w:r>
      <w:r>
        <w:rPr>
          <w:sz w:val="24"/>
          <w:szCs w:val="24"/>
        </w:rPr>
        <w:t xml:space="preserve"> Toyota </w:t>
      </w:r>
      <w:proofErr w:type="spellStart"/>
      <w:r>
        <w:rPr>
          <w:sz w:val="24"/>
          <w:szCs w:val="24"/>
        </w:rPr>
        <w:t>Sienna</w:t>
      </w:r>
      <w:proofErr w:type="spellEnd"/>
      <w:r>
        <w:rPr>
          <w:sz w:val="24"/>
          <w:szCs w:val="24"/>
        </w:rPr>
        <w:t xml:space="preserve"> 2017, Toyota </w:t>
      </w:r>
      <w:proofErr w:type="spellStart"/>
      <w:r>
        <w:rPr>
          <w:sz w:val="24"/>
          <w:szCs w:val="24"/>
        </w:rPr>
        <w:t>Corolla</w:t>
      </w:r>
      <w:proofErr w:type="spellEnd"/>
      <w:r>
        <w:rPr>
          <w:sz w:val="24"/>
          <w:szCs w:val="24"/>
        </w:rPr>
        <w:t xml:space="preserve"> 2017, Nissan </w:t>
      </w:r>
      <w:proofErr w:type="spellStart"/>
      <w:r>
        <w:rPr>
          <w:sz w:val="24"/>
          <w:szCs w:val="24"/>
        </w:rPr>
        <w:t>Tiida</w:t>
      </w:r>
      <w:proofErr w:type="spellEnd"/>
      <w:r>
        <w:rPr>
          <w:sz w:val="24"/>
          <w:szCs w:val="24"/>
        </w:rPr>
        <w:t xml:space="preserve"> 2018, 2 Nissan Versa 2019, Nissan NP 300 2019 y 5 camionetas X-</w:t>
      </w:r>
      <w:proofErr w:type="spellStart"/>
      <w:r>
        <w:rPr>
          <w:sz w:val="24"/>
          <w:szCs w:val="24"/>
        </w:rPr>
        <w:t>Trail</w:t>
      </w:r>
      <w:proofErr w:type="spellEnd"/>
      <w:r>
        <w:rPr>
          <w:sz w:val="24"/>
          <w:szCs w:val="24"/>
        </w:rPr>
        <w:t xml:space="preserve"> 2020, estas últimas se adquirieron con la aprobación del comité de adquisiciones, enajenaciones, arrendamientos y contratación de servicios relacionados con bienes muebles e inmuebles del Tribunal Electoral del Estado,</w:t>
      </w:r>
      <w:r w:rsidRPr="00C75F0D">
        <w:rPr>
          <w:sz w:val="24"/>
          <w:szCs w:val="24"/>
        </w:rPr>
        <w:t xml:space="preserve"> </w:t>
      </w:r>
      <w:r>
        <w:rPr>
          <w:sz w:val="24"/>
          <w:szCs w:val="24"/>
        </w:rPr>
        <w:t>sumando un importe total de adquisición de $4´173,961.20 (Cuatro millones ciento setenta y tres mil  novecientos sesenta y un pesos 20/100 M.N.)</w:t>
      </w:r>
      <w:r w:rsidRPr="0072361C">
        <w:rPr>
          <w:sz w:val="24"/>
          <w:szCs w:val="24"/>
        </w:rPr>
        <w:t xml:space="preserve"> </w:t>
      </w:r>
      <w:r>
        <w:rPr>
          <w:sz w:val="24"/>
          <w:szCs w:val="24"/>
        </w:rPr>
        <w:t>Cabe mencionar que en el acta de entrega recepción por parte del C.P. Jesús Zavala Palomares, no se encuentra conciliado el inventario físico con lo que se viene registrando en los estados financieros anteriores, estando en proceso de ello.</w:t>
      </w:r>
    </w:p>
    <w:p w:rsidR="00DC59B2" w:rsidRPr="00D97F9C" w:rsidRDefault="00DC59B2" w:rsidP="00DC59B2">
      <w:pPr>
        <w:ind w:left="708"/>
        <w:jc w:val="both"/>
      </w:pPr>
    </w:p>
    <w:p w:rsidR="00DC59B2" w:rsidRPr="00C75F0D" w:rsidRDefault="00DC59B2" w:rsidP="00DC59B2">
      <w:pPr>
        <w:ind w:left="708"/>
        <w:jc w:val="both"/>
        <w:rPr>
          <w:b/>
          <w:sz w:val="24"/>
          <w:szCs w:val="24"/>
        </w:rPr>
      </w:pPr>
      <w:r w:rsidRPr="00C75F0D">
        <w:rPr>
          <w:b/>
          <w:sz w:val="24"/>
          <w:szCs w:val="24"/>
        </w:rPr>
        <w:t>Estimaciones y deterioros</w:t>
      </w:r>
    </w:p>
    <w:p w:rsidR="002E6440" w:rsidRPr="008C391B" w:rsidRDefault="002E6440" w:rsidP="008C391B">
      <w:pPr>
        <w:ind w:left="708"/>
        <w:jc w:val="both"/>
        <w:rPr>
          <w:sz w:val="24"/>
          <w:szCs w:val="24"/>
        </w:rPr>
      </w:pPr>
      <w:r w:rsidRPr="008C391B">
        <w:rPr>
          <w:sz w:val="24"/>
          <w:szCs w:val="24"/>
        </w:rPr>
        <w:t xml:space="preserve">Se llevó a cabo las bajas correspondientes a </w:t>
      </w:r>
      <w:r w:rsidR="008C391B" w:rsidRPr="008C391B">
        <w:rPr>
          <w:sz w:val="24"/>
          <w:szCs w:val="24"/>
        </w:rPr>
        <w:t>las siguientes Acuerdos Administrativos con fechas</w:t>
      </w:r>
      <w:r w:rsidR="00615990">
        <w:rPr>
          <w:sz w:val="24"/>
          <w:szCs w:val="24"/>
        </w:rPr>
        <w:t xml:space="preserve"> de</w:t>
      </w:r>
      <w:r w:rsidR="00DD2CD2">
        <w:rPr>
          <w:sz w:val="24"/>
          <w:szCs w:val="24"/>
        </w:rPr>
        <w:t>l</w:t>
      </w:r>
      <w:r w:rsidR="00615990">
        <w:rPr>
          <w:sz w:val="24"/>
          <w:szCs w:val="24"/>
        </w:rPr>
        <w:t xml:space="preserve"> </w:t>
      </w:r>
      <w:r w:rsidR="008C391B" w:rsidRPr="008C391B">
        <w:rPr>
          <w:sz w:val="24"/>
          <w:szCs w:val="24"/>
        </w:rPr>
        <w:t>12 junio 2015, 30 de noviembre 2015, 13 de febrero 2018</w:t>
      </w:r>
      <w:r w:rsidRPr="008C391B">
        <w:rPr>
          <w:sz w:val="24"/>
          <w:szCs w:val="24"/>
        </w:rPr>
        <w:t xml:space="preserve">   </w:t>
      </w:r>
      <w:r w:rsidR="008C391B" w:rsidRPr="008C391B">
        <w:rPr>
          <w:sz w:val="24"/>
          <w:szCs w:val="24"/>
        </w:rPr>
        <w:t>y 28 septiembre 2018</w:t>
      </w:r>
      <w:r w:rsidR="00615990">
        <w:rPr>
          <w:sz w:val="24"/>
          <w:szCs w:val="24"/>
        </w:rPr>
        <w:t xml:space="preserve">; </w:t>
      </w:r>
      <w:r w:rsidRPr="008C391B">
        <w:rPr>
          <w:sz w:val="24"/>
          <w:szCs w:val="24"/>
        </w:rPr>
        <w:t>se anexa la documentación correspondiente.</w:t>
      </w:r>
    </w:p>
    <w:p w:rsidR="00DC59B2" w:rsidRPr="00C75F0D" w:rsidRDefault="00DC59B2" w:rsidP="00DC59B2">
      <w:pPr>
        <w:ind w:left="708"/>
        <w:rPr>
          <w:b/>
          <w:sz w:val="24"/>
          <w:szCs w:val="24"/>
        </w:rPr>
      </w:pPr>
      <w:r w:rsidRPr="00C75F0D">
        <w:rPr>
          <w:b/>
          <w:sz w:val="24"/>
          <w:szCs w:val="24"/>
        </w:rPr>
        <w:t>Otros Activos</w:t>
      </w:r>
    </w:p>
    <w:p w:rsidR="00DC59B2" w:rsidRDefault="00DC59B2" w:rsidP="0084675D">
      <w:pPr>
        <w:ind w:left="708"/>
        <w:rPr>
          <w:sz w:val="24"/>
          <w:szCs w:val="24"/>
        </w:rPr>
      </w:pPr>
      <w:r w:rsidRPr="00C75F0D">
        <w:rPr>
          <w:sz w:val="24"/>
          <w:szCs w:val="24"/>
        </w:rPr>
        <w:t>No se cuenta con otros activos.</w:t>
      </w:r>
    </w:p>
    <w:p w:rsidR="0084675D" w:rsidRPr="00C75F0D" w:rsidRDefault="0084675D" w:rsidP="0084675D">
      <w:pPr>
        <w:ind w:left="708"/>
        <w:rPr>
          <w:sz w:val="24"/>
          <w:szCs w:val="24"/>
        </w:rPr>
      </w:pPr>
    </w:p>
    <w:p w:rsidR="00DC59B2" w:rsidRPr="00C75F0D" w:rsidRDefault="00DC59B2" w:rsidP="00DC59B2">
      <w:pPr>
        <w:ind w:left="708"/>
        <w:rPr>
          <w:b/>
          <w:sz w:val="24"/>
          <w:szCs w:val="24"/>
        </w:rPr>
      </w:pPr>
      <w:r w:rsidRPr="00C75F0D">
        <w:rPr>
          <w:b/>
          <w:sz w:val="24"/>
          <w:szCs w:val="24"/>
        </w:rPr>
        <w:t>PASIVO</w:t>
      </w:r>
    </w:p>
    <w:p w:rsidR="00DC59B2" w:rsidRDefault="00DC59B2" w:rsidP="00DC59B2">
      <w:pPr>
        <w:ind w:left="708"/>
        <w:jc w:val="center"/>
        <w:rPr>
          <w:b/>
          <w:i/>
          <w:sz w:val="24"/>
          <w:szCs w:val="24"/>
        </w:rPr>
      </w:pPr>
      <w:r w:rsidRPr="00E62566">
        <w:rPr>
          <w:b/>
          <w:i/>
          <w:sz w:val="24"/>
          <w:szCs w:val="24"/>
        </w:rPr>
        <w:t>Cuentas por pagar con venc</w:t>
      </w:r>
      <w:r>
        <w:rPr>
          <w:b/>
          <w:i/>
          <w:sz w:val="24"/>
          <w:szCs w:val="24"/>
        </w:rPr>
        <w:t xml:space="preserve">imiento menor o igual a 90 día al </w:t>
      </w:r>
    </w:p>
    <w:p w:rsidR="00DC59B2" w:rsidRPr="00E62566" w:rsidRDefault="0084675D" w:rsidP="00DC59B2">
      <w:pPr>
        <w:ind w:left="708"/>
        <w:jc w:val="center"/>
        <w:rPr>
          <w:b/>
          <w:i/>
          <w:sz w:val="24"/>
          <w:szCs w:val="24"/>
        </w:rPr>
      </w:pPr>
      <w:r>
        <w:rPr>
          <w:b/>
          <w:i/>
          <w:sz w:val="24"/>
          <w:szCs w:val="24"/>
        </w:rPr>
        <w:t xml:space="preserve"> 31 de dic</w:t>
      </w:r>
      <w:r w:rsidR="00976357">
        <w:rPr>
          <w:b/>
          <w:i/>
          <w:sz w:val="24"/>
          <w:szCs w:val="24"/>
        </w:rPr>
        <w:t xml:space="preserve">iembre </w:t>
      </w:r>
      <w:r w:rsidR="00DC59B2">
        <w:rPr>
          <w:b/>
          <w:i/>
          <w:sz w:val="24"/>
          <w:szCs w:val="24"/>
        </w:rPr>
        <w:t xml:space="preserve">  de 2020</w:t>
      </w:r>
    </w:p>
    <w:tbl>
      <w:tblPr>
        <w:tblStyle w:val="Tablaconcuadrcula"/>
        <w:tblW w:w="0" w:type="auto"/>
        <w:tblInd w:w="708" w:type="dxa"/>
        <w:tblLook w:val="04A0" w:firstRow="1" w:lastRow="0" w:firstColumn="1" w:lastColumn="0" w:noHBand="0" w:noVBand="1"/>
      </w:tblPr>
      <w:tblGrid>
        <w:gridCol w:w="6091"/>
        <w:gridCol w:w="2029"/>
      </w:tblGrid>
      <w:tr w:rsidR="00DC59B2" w:rsidRPr="00DC2207" w:rsidTr="00815567">
        <w:tc>
          <w:tcPr>
            <w:tcW w:w="6091" w:type="dxa"/>
          </w:tcPr>
          <w:p w:rsidR="00DC59B2" w:rsidRPr="000D035B" w:rsidRDefault="00DC59B2" w:rsidP="00815567">
            <w:pPr>
              <w:rPr>
                <w:sz w:val="24"/>
                <w:szCs w:val="24"/>
              </w:rPr>
            </w:pPr>
            <w:r w:rsidRPr="000D035B">
              <w:rPr>
                <w:sz w:val="24"/>
                <w:szCs w:val="24"/>
              </w:rPr>
              <w:t xml:space="preserve">Retenciones de I.S.R. sobre sueldos y salarios (I.S.P.T.)    </w:t>
            </w:r>
          </w:p>
          <w:p w:rsidR="00DC59B2" w:rsidRPr="000D035B" w:rsidRDefault="00DC59B2" w:rsidP="00F8086B">
            <w:pPr>
              <w:rPr>
                <w:sz w:val="24"/>
                <w:szCs w:val="24"/>
              </w:rPr>
            </w:pPr>
            <w:r w:rsidRPr="000D035B">
              <w:rPr>
                <w:sz w:val="24"/>
                <w:szCs w:val="24"/>
              </w:rPr>
              <w:t>Al</w:t>
            </w:r>
            <w:r w:rsidR="00976357">
              <w:rPr>
                <w:sz w:val="24"/>
                <w:szCs w:val="24"/>
              </w:rPr>
              <w:t xml:space="preserve"> 3</w:t>
            </w:r>
            <w:r w:rsidR="00F8086B">
              <w:rPr>
                <w:sz w:val="24"/>
                <w:szCs w:val="24"/>
              </w:rPr>
              <w:t>1</w:t>
            </w:r>
            <w:r w:rsidRPr="000D035B">
              <w:rPr>
                <w:sz w:val="24"/>
                <w:szCs w:val="24"/>
              </w:rPr>
              <w:t xml:space="preserve">  de</w:t>
            </w:r>
            <w:r w:rsidR="00F8086B">
              <w:rPr>
                <w:sz w:val="24"/>
                <w:szCs w:val="24"/>
              </w:rPr>
              <w:t xml:space="preserve"> d</w:t>
            </w:r>
            <w:r w:rsidR="00976357">
              <w:rPr>
                <w:sz w:val="24"/>
                <w:szCs w:val="24"/>
              </w:rPr>
              <w:t>i</w:t>
            </w:r>
            <w:r w:rsidR="00F8086B">
              <w:rPr>
                <w:sz w:val="24"/>
                <w:szCs w:val="24"/>
              </w:rPr>
              <w:t>ci</w:t>
            </w:r>
            <w:r w:rsidR="00976357">
              <w:rPr>
                <w:sz w:val="24"/>
                <w:szCs w:val="24"/>
              </w:rPr>
              <w:t xml:space="preserve">embre </w:t>
            </w:r>
            <w:r w:rsidRPr="000D035B">
              <w:rPr>
                <w:sz w:val="24"/>
                <w:szCs w:val="24"/>
              </w:rPr>
              <w:t xml:space="preserve"> 2020                      </w:t>
            </w:r>
          </w:p>
        </w:tc>
        <w:tc>
          <w:tcPr>
            <w:tcW w:w="2029" w:type="dxa"/>
            <w:shd w:val="clear" w:color="auto" w:fill="auto"/>
          </w:tcPr>
          <w:p w:rsidR="00DC59B2" w:rsidRPr="00AE4EF7" w:rsidRDefault="00456790" w:rsidP="00586E60">
            <w:pPr>
              <w:jc w:val="right"/>
              <w:rPr>
                <w:sz w:val="24"/>
                <w:szCs w:val="24"/>
              </w:rPr>
            </w:pPr>
            <w:r w:rsidRPr="00AE4EF7">
              <w:rPr>
                <w:sz w:val="24"/>
                <w:szCs w:val="24"/>
              </w:rPr>
              <w:t>$</w:t>
            </w:r>
            <w:r w:rsidR="00F8086B" w:rsidRPr="00AE4EF7">
              <w:rPr>
                <w:sz w:val="24"/>
                <w:szCs w:val="24"/>
              </w:rPr>
              <w:t>-608.88</w:t>
            </w:r>
          </w:p>
        </w:tc>
      </w:tr>
      <w:tr w:rsidR="00DC59B2" w:rsidRPr="00DC2207" w:rsidTr="00815567">
        <w:tc>
          <w:tcPr>
            <w:tcW w:w="6091" w:type="dxa"/>
          </w:tcPr>
          <w:p w:rsidR="00DC59B2" w:rsidRPr="000D035B" w:rsidRDefault="00DC59B2" w:rsidP="00815567">
            <w:pPr>
              <w:rPr>
                <w:sz w:val="24"/>
                <w:szCs w:val="24"/>
              </w:rPr>
            </w:pPr>
            <w:r w:rsidRPr="000D035B">
              <w:rPr>
                <w:sz w:val="24"/>
                <w:szCs w:val="24"/>
              </w:rPr>
              <w:t>Retenciones de I.S.R. por honorarios</w:t>
            </w:r>
            <w:r w:rsidR="00F8086B">
              <w:rPr>
                <w:sz w:val="24"/>
                <w:szCs w:val="24"/>
              </w:rPr>
              <w:t xml:space="preserve"> del mes de diciembre</w:t>
            </w:r>
          </w:p>
        </w:tc>
        <w:tc>
          <w:tcPr>
            <w:tcW w:w="2029" w:type="dxa"/>
            <w:shd w:val="clear" w:color="auto" w:fill="auto"/>
          </w:tcPr>
          <w:p w:rsidR="00DC59B2" w:rsidRPr="00AE4EF7" w:rsidRDefault="00DC59B2" w:rsidP="00586E60">
            <w:pPr>
              <w:jc w:val="right"/>
              <w:rPr>
                <w:sz w:val="24"/>
                <w:szCs w:val="24"/>
              </w:rPr>
            </w:pPr>
            <w:r w:rsidRPr="00AE4EF7">
              <w:rPr>
                <w:sz w:val="24"/>
                <w:szCs w:val="24"/>
              </w:rPr>
              <w:t xml:space="preserve">                $</w:t>
            </w:r>
            <w:r w:rsidR="00F8086B" w:rsidRPr="00AE4EF7">
              <w:rPr>
                <w:sz w:val="24"/>
                <w:szCs w:val="24"/>
              </w:rPr>
              <w:t>-0.05</w:t>
            </w:r>
          </w:p>
        </w:tc>
      </w:tr>
      <w:tr w:rsidR="00DC59B2" w:rsidRPr="00DC2207" w:rsidTr="00815567">
        <w:tc>
          <w:tcPr>
            <w:tcW w:w="6091" w:type="dxa"/>
          </w:tcPr>
          <w:p w:rsidR="00DC59B2" w:rsidRPr="000D035B" w:rsidRDefault="00DC59B2" w:rsidP="00815567">
            <w:pPr>
              <w:rPr>
                <w:sz w:val="24"/>
                <w:szCs w:val="24"/>
              </w:rPr>
            </w:pPr>
            <w:r w:rsidRPr="000D035B">
              <w:rPr>
                <w:sz w:val="24"/>
                <w:szCs w:val="24"/>
              </w:rPr>
              <w:t>Retenciones de I.S.R. sobre Arrendamiento</w:t>
            </w:r>
            <w:r w:rsidR="00F8086B">
              <w:rPr>
                <w:sz w:val="24"/>
                <w:szCs w:val="24"/>
              </w:rPr>
              <w:t xml:space="preserve"> del mes de diciembre</w:t>
            </w:r>
          </w:p>
        </w:tc>
        <w:tc>
          <w:tcPr>
            <w:tcW w:w="2029" w:type="dxa"/>
            <w:shd w:val="clear" w:color="auto" w:fill="auto"/>
          </w:tcPr>
          <w:p w:rsidR="00DC59B2" w:rsidRPr="00AE4EF7" w:rsidRDefault="00DC59B2" w:rsidP="00586E60">
            <w:pPr>
              <w:jc w:val="right"/>
              <w:rPr>
                <w:sz w:val="24"/>
                <w:szCs w:val="24"/>
              </w:rPr>
            </w:pPr>
            <w:r w:rsidRPr="00AE4EF7">
              <w:rPr>
                <w:sz w:val="24"/>
                <w:szCs w:val="24"/>
              </w:rPr>
              <w:t xml:space="preserve">               </w:t>
            </w:r>
            <w:r w:rsidR="00456790" w:rsidRPr="00AE4EF7">
              <w:rPr>
                <w:sz w:val="24"/>
                <w:szCs w:val="24"/>
              </w:rPr>
              <w:t>$</w:t>
            </w:r>
            <w:r w:rsidR="00F8086B" w:rsidRPr="00AE4EF7">
              <w:rPr>
                <w:sz w:val="24"/>
                <w:szCs w:val="24"/>
              </w:rPr>
              <w:t>0.89</w:t>
            </w:r>
          </w:p>
        </w:tc>
      </w:tr>
      <w:tr w:rsidR="00DC59B2" w:rsidRPr="00DC2207" w:rsidTr="00815567">
        <w:tc>
          <w:tcPr>
            <w:tcW w:w="6091" w:type="dxa"/>
          </w:tcPr>
          <w:p w:rsidR="00DC59B2" w:rsidRPr="000D035B" w:rsidRDefault="00DC59B2" w:rsidP="00D138BB">
            <w:pPr>
              <w:rPr>
                <w:sz w:val="24"/>
                <w:szCs w:val="24"/>
              </w:rPr>
            </w:pPr>
            <w:r w:rsidRPr="000D035B">
              <w:rPr>
                <w:sz w:val="24"/>
                <w:szCs w:val="24"/>
              </w:rPr>
              <w:t>Retenciones de I.S.R. por Asimilados a Salari</w:t>
            </w:r>
            <w:r w:rsidR="00F8086B">
              <w:rPr>
                <w:sz w:val="24"/>
                <w:szCs w:val="24"/>
              </w:rPr>
              <w:t xml:space="preserve">os </w:t>
            </w:r>
            <w:r w:rsidRPr="000D035B">
              <w:rPr>
                <w:sz w:val="24"/>
                <w:szCs w:val="24"/>
              </w:rPr>
              <w:t xml:space="preserve">                                     </w:t>
            </w:r>
          </w:p>
        </w:tc>
        <w:tc>
          <w:tcPr>
            <w:tcW w:w="2029" w:type="dxa"/>
            <w:shd w:val="clear" w:color="auto" w:fill="auto"/>
          </w:tcPr>
          <w:p w:rsidR="00DC59B2" w:rsidRPr="00AE4EF7" w:rsidRDefault="00F8086B" w:rsidP="00586E60">
            <w:pPr>
              <w:jc w:val="right"/>
              <w:rPr>
                <w:sz w:val="24"/>
                <w:szCs w:val="24"/>
              </w:rPr>
            </w:pPr>
            <w:r w:rsidRPr="00AE4EF7">
              <w:rPr>
                <w:sz w:val="24"/>
                <w:szCs w:val="24"/>
              </w:rPr>
              <w:t>$0.01</w:t>
            </w:r>
          </w:p>
        </w:tc>
      </w:tr>
      <w:tr w:rsidR="00DC59B2" w:rsidRPr="00DC2207" w:rsidTr="00815567">
        <w:tc>
          <w:tcPr>
            <w:tcW w:w="6091" w:type="dxa"/>
          </w:tcPr>
          <w:p w:rsidR="00DC59B2" w:rsidRPr="000D035B" w:rsidRDefault="00DC59B2" w:rsidP="00F8086B">
            <w:pPr>
              <w:rPr>
                <w:sz w:val="24"/>
                <w:szCs w:val="24"/>
              </w:rPr>
            </w:pPr>
            <w:r w:rsidRPr="000D035B">
              <w:rPr>
                <w:sz w:val="24"/>
                <w:szCs w:val="24"/>
              </w:rPr>
              <w:lastRenderedPageBreak/>
              <w:t>IMSS par</w:t>
            </w:r>
            <w:r w:rsidR="00F8086B">
              <w:rPr>
                <w:sz w:val="24"/>
                <w:szCs w:val="24"/>
              </w:rPr>
              <w:t>a el Trabajador (Ejercicio 2017)</w:t>
            </w:r>
          </w:p>
        </w:tc>
        <w:tc>
          <w:tcPr>
            <w:tcW w:w="2029" w:type="dxa"/>
            <w:shd w:val="clear" w:color="auto" w:fill="auto"/>
          </w:tcPr>
          <w:p w:rsidR="00DC59B2" w:rsidRPr="00AE4EF7" w:rsidRDefault="00DC59B2" w:rsidP="00586E60">
            <w:pPr>
              <w:jc w:val="right"/>
              <w:rPr>
                <w:sz w:val="24"/>
                <w:szCs w:val="24"/>
              </w:rPr>
            </w:pPr>
            <w:r w:rsidRPr="00AE4EF7">
              <w:rPr>
                <w:sz w:val="24"/>
                <w:szCs w:val="24"/>
              </w:rPr>
              <w:t xml:space="preserve">         </w:t>
            </w:r>
            <w:r w:rsidR="00456790" w:rsidRPr="00AE4EF7">
              <w:rPr>
                <w:sz w:val="24"/>
                <w:szCs w:val="24"/>
              </w:rPr>
              <w:t>$</w:t>
            </w:r>
            <w:r w:rsidR="008C391B">
              <w:rPr>
                <w:sz w:val="24"/>
                <w:szCs w:val="24"/>
              </w:rPr>
              <w:t>270,693.12</w:t>
            </w:r>
          </w:p>
        </w:tc>
      </w:tr>
      <w:tr w:rsidR="00DC59B2" w:rsidRPr="00AE4EF7" w:rsidTr="00815567">
        <w:tc>
          <w:tcPr>
            <w:tcW w:w="6091" w:type="dxa"/>
          </w:tcPr>
          <w:p w:rsidR="00DC59B2" w:rsidRPr="00C104D3" w:rsidRDefault="00DC59B2" w:rsidP="00F8086B">
            <w:pPr>
              <w:rPr>
                <w:sz w:val="24"/>
                <w:szCs w:val="24"/>
              </w:rPr>
            </w:pPr>
            <w:r w:rsidRPr="00C104D3">
              <w:rPr>
                <w:sz w:val="24"/>
                <w:szCs w:val="24"/>
              </w:rPr>
              <w:t>Aportaciones Personales al R.C.V.( Ejercicio 2017</w:t>
            </w:r>
            <w:r w:rsidR="00F8086B" w:rsidRPr="00C104D3">
              <w:rPr>
                <w:sz w:val="24"/>
                <w:szCs w:val="24"/>
              </w:rPr>
              <w:t>)</w:t>
            </w:r>
          </w:p>
        </w:tc>
        <w:tc>
          <w:tcPr>
            <w:tcW w:w="2029" w:type="dxa"/>
            <w:shd w:val="clear" w:color="auto" w:fill="auto"/>
          </w:tcPr>
          <w:p w:rsidR="00DC59B2" w:rsidRPr="00AE4EF7" w:rsidRDefault="00DC59B2" w:rsidP="00586E60">
            <w:pPr>
              <w:jc w:val="right"/>
              <w:rPr>
                <w:sz w:val="24"/>
                <w:szCs w:val="24"/>
              </w:rPr>
            </w:pPr>
            <w:r w:rsidRPr="00AE4EF7">
              <w:rPr>
                <w:sz w:val="24"/>
                <w:szCs w:val="24"/>
              </w:rPr>
              <w:t xml:space="preserve">        </w:t>
            </w:r>
            <w:r w:rsidR="00F8086B" w:rsidRPr="00AE4EF7">
              <w:rPr>
                <w:sz w:val="24"/>
                <w:szCs w:val="24"/>
              </w:rPr>
              <w:t>$</w:t>
            </w:r>
            <w:r w:rsidR="008C391B">
              <w:rPr>
                <w:sz w:val="24"/>
                <w:szCs w:val="24"/>
              </w:rPr>
              <w:t xml:space="preserve">  156,305.85</w:t>
            </w:r>
          </w:p>
        </w:tc>
      </w:tr>
      <w:tr w:rsidR="00DC59B2" w:rsidRPr="00DC2207" w:rsidTr="00815567">
        <w:tc>
          <w:tcPr>
            <w:tcW w:w="6091" w:type="dxa"/>
          </w:tcPr>
          <w:p w:rsidR="00DC59B2" w:rsidRPr="00C104D3" w:rsidRDefault="00DC59B2" w:rsidP="00815567">
            <w:pPr>
              <w:rPr>
                <w:sz w:val="24"/>
                <w:szCs w:val="24"/>
              </w:rPr>
            </w:pPr>
            <w:r w:rsidRPr="00C104D3">
              <w:rPr>
                <w:sz w:val="24"/>
                <w:szCs w:val="24"/>
              </w:rPr>
              <w:t>Cuotas al fondo de pensiones</w:t>
            </w:r>
            <w:r w:rsidR="00133F5A" w:rsidRPr="00C104D3">
              <w:rPr>
                <w:sz w:val="24"/>
                <w:szCs w:val="24"/>
              </w:rPr>
              <w:t xml:space="preserve">  al 31</w:t>
            </w:r>
            <w:r w:rsidR="00F8086B" w:rsidRPr="00C104D3">
              <w:rPr>
                <w:sz w:val="24"/>
                <w:szCs w:val="24"/>
              </w:rPr>
              <w:t xml:space="preserve"> diciembre</w:t>
            </w:r>
          </w:p>
        </w:tc>
        <w:tc>
          <w:tcPr>
            <w:tcW w:w="2029" w:type="dxa"/>
            <w:shd w:val="clear" w:color="auto" w:fill="auto"/>
          </w:tcPr>
          <w:p w:rsidR="00DC59B2" w:rsidRPr="00AE4EF7" w:rsidRDefault="00456790" w:rsidP="00586E60">
            <w:pPr>
              <w:jc w:val="right"/>
              <w:rPr>
                <w:sz w:val="24"/>
                <w:szCs w:val="24"/>
              </w:rPr>
            </w:pPr>
            <w:r w:rsidRPr="00AE4EF7">
              <w:rPr>
                <w:sz w:val="24"/>
                <w:szCs w:val="24"/>
              </w:rPr>
              <w:t xml:space="preserve">$ </w:t>
            </w:r>
            <w:r w:rsidR="00F8086B" w:rsidRPr="00AE4EF7">
              <w:rPr>
                <w:sz w:val="24"/>
                <w:szCs w:val="24"/>
              </w:rPr>
              <w:t>3.30</w:t>
            </w:r>
          </w:p>
        </w:tc>
      </w:tr>
      <w:tr w:rsidR="00DC59B2" w:rsidRPr="00DC2207" w:rsidTr="00815567">
        <w:tc>
          <w:tcPr>
            <w:tcW w:w="6091" w:type="dxa"/>
          </w:tcPr>
          <w:p w:rsidR="00DC59B2" w:rsidRPr="000D035B" w:rsidRDefault="00DC59B2" w:rsidP="00815567">
            <w:pPr>
              <w:rPr>
                <w:sz w:val="24"/>
                <w:szCs w:val="24"/>
              </w:rPr>
            </w:pPr>
            <w:r w:rsidRPr="000D035B">
              <w:rPr>
                <w:sz w:val="24"/>
                <w:szCs w:val="24"/>
              </w:rPr>
              <w:t>Impuesto sobre nómina(Correspondiente al ejercicio 2017</w:t>
            </w:r>
          </w:p>
        </w:tc>
        <w:tc>
          <w:tcPr>
            <w:tcW w:w="2029" w:type="dxa"/>
            <w:shd w:val="clear" w:color="auto" w:fill="auto"/>
          </w:tcPr>
          <w:p w:rsidR="00DC59B2" w:rsidRPr="00AE4EF7" w:rsidRDefault="00F8086B" w:rsidP="00586E60">
            <w:pPr>
              <w:jc w:val="right"/>
              <w:rPr>
                <w:sz w:val="24"/>
                <w:szCs w:val="24"/>
              </w:rPr>
            </w:pPr>
            <w:r w:rsidRPr="00AE4EF7">
              <w:rPr>
                <w:sz w:val="24"/>
                <w:szCs w:val="24"/>
              </w:rPr>
              <w:t xml:space="preserve">         $</w:t>
            </w:r>
            <w:r w:rsidR="008C68FD" w:rsidRPr="00AE4EF7">
              <w:rPr>
                <w:sz w:val="24"/>
                <w:szCs w:val="24"/>
              </w:rPr>
              <w:t>202,903.13</w:t>
            </w:r>
            <w:r w:rsidR="00DC59B2" w:rsidRPr="00AE4EF7">
              <w:rPr>
                <w:sz w:val="24"/>
                <w:szCs w:val="24"/>
              </w:rPr>
              <w:t xml:space="preserve"> </w:t>
            </w:r>
          </w:p>
        </w:tc>
      </w:tr>
      <w:tr w:rsidR="00DC59B2" w:rsidRPr="00DC2207" w:rsidTr="00815567">
        <w:tc>
          <w:tcPr>
            <w:tcW w:w="6091" w:type="dxa"/>
          </w:tcPr>
          <w:p w:rsidR="00DC59B2" w:rsidRPr="00E805FF" w:rsidRDefault="00DC59B2" w:rsidP="00815567">
            <w:pPr>
              <w:rPr>
                <w:sz w:val="24"/>
                <w:szCs w:val="24"/>
              </w:rPr>
            </w:pPr>
            <w:r w:rsidRPr="00E805FF">
              <w:rPr>
                <w:sz w:val="24"/>
                <w:szCs w:val="24"/>
              </w:rPr>
              <w:t>Aportaciones al IMSS(Correspondiente al ejercicio 2017)</w:t>
            </w:r>
          </w:p>
        </w:tc>
        <w:tc>
          <w:tcPr>
            <w:tcW w:w="2029" w:type="dxa"/>
            <w:shd w:val="clear" w:color="auto" w:fill="auto"/>
          </w:tcPr>
          <w:p w:rsidR="00DC59B2" w:rsidRPr="00AE4EF7" w:rsidRDefault="00DC59B2" w:rsidP="00586E60">
            <w:pPr>
              <w:jc w:val="right"/>
              <w:rPr>
                <w:color w:val="000000" w:themeColor="text1"/>
                <w:sz w:val="24"/>
                <w:szCs w:val="24"/>
              </w:rPr>
            </w:pPr>
            <w:r w:rsidRPr="00AE4EF7">
              <w:rPr>
                <w:color w:val="000000" w:themeColor="text1"/>
                <w:sz w:val="24"/>
                <w:szCs w:val="24"/>
              </w:rPr>
              <w:t xml:space="preserve">       $1´614,177.23</w:t>
            </w:r>
          </w:p>
        </w:tc>
      </w:tr>
      <w:tr w:rsidR="00DC59B2" w:rsidRPr="00DC2207" w:rsidTr="00815567">
        <w:tc>
          <w:tcPr>
            <w:tcW w:w="6091" w:type="dxa"/>
          </w:tcPr>
          <w:p w:rsidR="00DC59B2" w:rsidRPr="00E805FF" w:rsidRDefault="00DC59B2" w:rsidP="00815567">
            <w:pPr>
              <w:rPr>
                <w:sz w:val="24"/>
                <w:szCs w:val="24"/>
              </w:rPr>
            </w:pPr>
            <w:r w:rsidRPr="00E805FF">
              <w:rPr>
                <w:sz w:val="24"/>
                <w:szCs w:val="24"/>
              </w:rPr>
              <w:t>Aportaciones al Sistema de Ahorro para el retiro((Correspondiente al ejercicio 2017)</w:t>
            </w:r>
          </w:p>
        </w:tc>
        <w:tc>
          <w:tcPr>
            <w:tcW w:w="2029" w:type="dxa"/>
            <w:shd w:val="clear" w:color="auto" w:fill="auto"/>
          </w:tcPr>
          <w:p w:rsidR="00DC59B2" w:rsidRPr="00AE4EF7" w:rsidRDefault="00DC59B2" w:rsidP="00586E60">
            <w:pPr>
              <w:jc w:val="right"/>
              <w:rPr>
                <w:color w:val="000000" w:themeColor="text1"/>
                <w:sz w:val="24"/>
                <w:szCs w:val="24"/>
              </w:rPr>
            </w:pPr>
            <w:r w:rsidRPr="00AE4EF7">
              <w:rPr>
                <w:color w:val="000000" w:themeColor="text1"/>
                <w:sz w:val="24"/>
                <w:szCs w:val="24"/>
              </w:rPr>
              <w:t xml:space="preserve">          $ 670,954.36</w:t>
            </w:r>
          </w:p>
        </w:tc>
      </w:tr>
      <w:tr w:rsidR="00F84798" w:rsidRPr="00DC2207" w:rsidTr="00815567">
        <w:tc>
          <w:tcPr>
            <w:tcW w:w="6091" w:type="dxa"/>
          </w:tcPr>
          <w:p w:rsidR="00F84798" w:rsidRPr="00586E60" w:rsidRDefault="00F84798" w:rsidP="00F84798">
            <w:pPr>
              <w:rPr>
                <w:sz w:val="24"/>
                <w:szCs w:val="24"/>
              </w:rPr>
            </w:pPr>
            <w:r w:rsidRPr="00586E60">
              <w:rPr>
                <w:sz w:val="24"/>
                <w:szCs w:val="24"/>
              </w:rPr>
              <w:t>Aportaciones al IMSS(Correspondiente al ejercicio 2020)</w:t>
            </w:r>
          </w:p>
        </w:tc>
        <w:tc>
          <w:tcPr>
            <w:tcW w:w="2029" w:type="dxa"/>
            <w:shd w:val="clear" w:color="auto" w:fill="auto"/>
          </w:tcPr>
          <w:p w:rsidR="00F84798" w:rsidRPr="009F5370" w:rsidRDefault="00F84798" w:rsidP="00586E60">
            <w:pPr>
              <w:jc w:val="right"/>
              <w:rPr>
                <w:color w:val="000000" w:themeColor="text1"/>
                <w:sz w:val="24"/>
                <w:szCs w:val="24"/>
              </w:rPr>
            </w:pPr>
            <w:r w:rsidRPr="009F5370">
              <w:rPr>
                <w:color w:val="000000" w:themeColor="text1"/>
                <w:sz w:val="24"/>
                <w:szCs w:val="24"/>
              </w:rPr>
              <w:t xml:space="preserve">       $</w:t>
            </w:r>
            <w:r w:rsidR="00013EFB" w:rsidRPr="009F5370">
              <w:rPr>
                <w:color w:val="000000" w:themeColor="text1"/>
                <w:sz w:val="24"/>
                <w:szCs w:val="24"/>
              </w:rPr>
              <w:t xml:space="preserve"> 241,481.47</w:t>
            </w:r>
          </w:p>
        </w:tc>
      </w:tr>
      <w:tr w:rsidR="00F84798" w:rsidRPr="00DC2207" w:rsidTr="00815567">
        <w:tc>
          <w:tcPr>
            <w:tcW w:w="6091" w:type="dxa"/>
          </w:tcPr>
          <w:p w:rsidR="00F84798" w:rsidRPr="00586E60" w:rsidRDefault="00F84798" w:rsidP="00F84798">
            <w:pPr>
              <w:rPr>
                <w:sz w:val="24"/>
                <w:szCs w:val="24"/>
              </w:rPr>
            </w:pPr>
            <w:r w:rsidRPr="00586E60">
              <w:rPr>
                <w:sz w:val="24"/>
                <w:szCs w:val="24"/>
              </w:rPr>
              <w:t>Aportaciones al Si</w:t>
            </w:r>
            <w:r w:rsidR="00E805FF" w:rsidRPr="00586E60">
              <w:rPr>
                <w:sz w:val="24"/>
                <w:szCs w:val="24"/>
              </w:rPr>
              <w:t>stema de Ahorro para el retiro(</w:t>
            </w:r>
            <w:r w:rsidRPr="00586E60">
              <w:rPr>
                <w:sz w:val="24"/>
                <w:szCs w:val="24"/>
              </w:rPr>
              <w:t>Correspondiente al ejercicio 2020)</w:t>
            </w:r>
          </w:p>
        </w:tc>
        <w:tc>
          <w:tcPr>
            <w:tcW w:w="2029" w:type="dxa"/>
            <w:shd w:val="clear" w:color="auto" w:fill="auto"/>
          </w:tcPr>
          <w:p w:rsidR="00F84798" w:rsidRPr="009F5370" w:rsidRDefault="00F84798" w:rsidP="00586E60">
            <w:pPr>
              <w:jc w:val="right"/>
              <w:rPr>
                <w:color w:val="000000" w:themeColor="text1"/>
                <w:sz w:val="24"/>
                <w:szCs w:val="24"/>
              </w:rPr>
            </w:pPr>
            <w:r w:rsidRPr="009F5370">
              <w:rPr>
                <w:color w:val="000000" w:themeColor="text1"/>
                <w:sz w:val="24"/>
                <w:szCs w:val="24"/>
              </w:rPr>
              <w:t xml:space="preserve"> </w:t>
            </w:r>
            <w:r w:rsidR="00E805FF" w:rsidRPr="009F5370">
              <w:rPr>
                <w:color w:val="000000" w:themeColor="text1"/>
                <w:sz w:val="24"/>
                <w:szCs w:val="24"/>
              </w:rPr>
              <w:t xml:space="preserve">      </w:t>
            </w:r>
            <w:r w:rsidRPr="009F5370">
              <w:rPr>
                <w:color w:val="000000" w:themeColor="text1"/>
                <w:sz w:val="24"/>
                <w:szCs w:val="24"/>
              </w:rPr>
              <w:t xml:space="preserve">$ </w:t>
            </w:r>
            <w:r w:rsidR="00013EFB" w:rsidRPr="009F5370">
              <w:rPr>
                <w:color w:val="000000" w:themeColor="text1"/>
                <w:sz w:val="24"/>
                <w:szCs w:val="24"/>
              </w:rPr>
              <w:t>418,833.53</w:t>
            </w:r>
          </w:p>
        </w:tc>
      </w:tr>
      <w:tr w:rsidR="00F84798" w:rsidRPr="00DC2207" w:rsidTr="00815567">
        <w:tc>
          <w:tcPr>
            <w:tcW w:w="6091" w:type="dxa"/>
          </w:tcPr>
          <w:p w:rsidR="00F84798" w:rsidRPr="00586E60" w:rsidRDefault="008C68FD" w:rsidP="00F84798">
            <w:pPr>
              <w:rPr>
                <w:sz w:val="24"/>
                <w:szCs w:val="24"/>
              </w:rPr>
            </w:pPr>
            <w:r w:rsidRPr="00586E60">
              <w:rPr>
                <w:sz w:val="24"/>
                <w:szCs w:val="24"/>
              </w:rPr>
              <w:t>Impuesto sobre nómina(Correspondiente al ejercicio 2020</w:t>
            </w:r>
            <w:r w:rsidR="00586E60">
              <w:rPr>
                <w:sz w:val="24"/>
                <w:szCs w:val="24"/>
              </w:rPr>
              <w:t>)</w:t>
            </w:r>
          </w:p>
        </w:tc>
        <w:tc>
          <w:tcPr>
            <w:tcW w:w="2029" w:type="dxa"/>
            <w:shd w:val="clear" w:color="auto" w:fill="auto"/>
          </w:tcPr>
          <w:p w:rsidR="00F84798" w:rsidRPr="009F5370" w:rsidRDefault="00586E60" w:rsidP="00586E60">
            <w:pPr>
              <w:jc w:val="right"/>
              <w:rPr>
                <w:color w:val="000000" w:themeColor="text1"/>
                <w:sz w:val="24"/>
                <w:szCs w:val="24"/>
              </w:rPr>
            </w:pPr>
            <w:r w:rsidRPr="009F5370">
              <w:rPr>
                <w:color w:val="000000" w:themeColor="text1"/>
                <w:sz w:val="24"/>
                <w:szCs w:val="24"/>
              </w:rPr>
              <w:t xml:space="preserve">  </w:t>
            </w:r>
            <w:r w:rsidR="008C68FD" w:rsidRPr="009F5370">
              <w:rPr>
                <w:color w:val="000000" w:themeColor="text1"/>
                <w:sz w:val="24"/>
                <w:szCs w:val="24"/>
              </w:rPr>
              <w:t>$946,398.00</w:t>
            </w:r>
          </w:p>
        </w:tc>
      </w:tr>
      <w:tr w:rsidR="00F84798" w:rsidRPr="00AE4EF7" w:rsidTr="00815567">
        <w:tc>
          <w:tcPr>
            <w:tcW w:w="6091" w:type="dxa"/>
          </w:tcPr>
          <w:p w:rsidR="00F84798" w:rsidRPr="00AE4EF7" w:rsidRDefault="002C3069" w:rsidP="00F84798">
            <w:pPr>
              <w:rPr>
                <w:sz w:val="24"/>
                <w:szCs w:val="24"/>
              </w:rPr>
            </w:pPr>
            <w:r w:rsidRPr="00AE4EF7">
              <w:rPr>
                <w:sz w:val="24"/>
                <w:szCs w:val="24"/>
              </w:rPr>
              <w:t>Acre</w:t>
            </w:r>
            <w:r w:rsidR="00F84798" w:rsidRPr="00AE4EF7">
              <w:rPr>
                <w:sz w:val="24"/>
                <w:szCs w:val="24"/>
              </w:rPr>
              <w:t xml:space="preserve">edores Diversos Varios al 31 diciembre </w:t>
            </w:r>
            <w:r w:rsidR="00B203E3">
              <w:rPr>
                <w:sz w:val="24"/>
                <w:szCs w:val="24"/>
              </w:rPr>
              <w:t>2020</w:t>
            </w:r>
          </w:p>
        </w:tc>
        <w:tc>
          <w:tcPr>
            <w:tcW w:w="2029" w:type="dxa"/>
            <w:shd w:val="clear" w:color="auto" w:fill="auto"/>
          </w:tcPr>
          <w:p w:rsidR="00F84798" w:rsidRPr="009F5370" w:rsidRDefault="009F5370" w:rsidP="00AE4EF7">
            <w:pPr>
              <w:jc w:val="right"/>
              <w:rPr>
                <w:sz w:val="24"/>
                <w:szCs w:val="24"/>
              </w:rPr>
            </w:pPr>
            <w:r w:rsidRPr="009F5370">
              <w:rPr>
                <w:sz w:val="24"/>
                <w:szCs w:val="24"/>
              </w:rPr>
              <w:t>$142,494.23</w:t>
            </w:r>
          </w:p>
        </w:tc>
      </w:tr>
      <w:tr w:rsidR="00F84798" w:rsidRPr="00DC2207" w:rsidTr="00815567">
        <w:tc>
          <w:tcPr>
            <w:tcW w:w="6091" w:type="dxa"/>
          </w:tcPr>
          <w:p w:rsidR="00F84798" w:rsidRPr="000D035B" w:rsidRDefault="00F84798" w:rsidP="00F84798">
            <w:pPr>
              <w:rPr>
                <w:sz w:val="24"/>
                <w:szCs w:val="24"/>
              </w:rPr>
            </w:pPr>
            <w:r w:rsidRPr="000D035B">
              <w:rPr>
                <w:b/>
                <w:sz w:val="24"/>
                <w:szCs w:val="24"/>
              </w:rPr>
              <w:t>TOTAL</w:t>
            </w:r>
          </w:p>
        </w:tc>
        <w:tc>
          <w:tcPr>
            <w:tcW w:w="2029" w:type="dxa"/>
            <w:shd w:val="clear" w:color="auto" w:fill="auto"/>
          </w:tcPr>
          <w:p w:rsidR="00F84798" w:rsidRPr="000D035B" w:rsidRDefault="00F84798" w:rsidP="00F84798">
            <w:pPr>
              <w:jc w:val="both"/>
              <w:rPr>
                <w:sz w:val="24"/>
                <w:szCs w:val="24"/>
              </w:rPr>
            </w:pPr>
            <w:r>
              <w:rPr>
                <w:b/>
                <w:sz w:val="24"/>
                <w:szCs w:val="24"/>
              </w:rPr>
              <w:t>$       4</w:t>
            </w:r>
            <w:r w:rsidRPr="000D035B">
              <w:rPr>
                <w:b/>
                <w:sz w:val="24"/>
                <w:szCs w:val="24"/>
              </w:rPr>
              <w:t>´</w:t>
            </w:r>
            <w:r w:rsidR="00013EFB">
              <w:rPr>
                <w:b/>
                <w:sz w:val="24"/>
                <w:szCs w:val="24"/>
              </w:rPr>
              <w:t>663,636.19</w:t>
            </w:r>
          </w:p>
        </w:tc>
      </w:tr>
    </w:tbl>
    <w:p w:rsidR="006B0354" w:rsidRDefault="006B0354" w:rsidP="00DC59B2">
      <w:pPr>
        <w:rPr>
          <w:b/>
          <w:sz w:val="24"/>
          <w:szCs w:val="24"/>
        </w:rPr>
      </w:pPr>
    </w:p>
    <w:p w:rsidR="00DC59B2" w:rsidRPr="006B0354" w:rsidRDefault="006B0354" w:rsidP="00DC59B2">
      <w:pPr>
        <w:rPr>
          <w:sz w:val="24"/>
          <w:szCs w:val="24"/>
        </w:rPr>
      </w:pPr>
      <w:r w:rsidRPr="006B0354">
        <w:rPr>
          <w:sz w:val="24"/>
          <w:szCs w:val="24"/>
        </w:rPr>
        <w:t>Cabe mencionar que se cuenta con un adeudo de gastos comprometidos no pagadas de ejercicio fiscal 2020 por un importe de $ 1´743,319.08 (Un millón setecientos cuarenta tres mil cuatrocientos diecinueve pesos 08/100 M.N)</w:t>
      </w:r>
      <w:r>
        <w:rPr>
          <w:sz w:val="24"/>
          <w:szCs w:val="24"/>
        </w:rPr>
        <w:t>.</w:t>
      </w:r>
    </w:p>
    <w:p w:rsidR="00DC59B2" w:rsidRPr="006B0354" w:rsidRDefault="00586E60" w:rsidP="006B0354">
      <w:pPr>
        <w:jc w:val="both"/>
        <w:rPr>
          <w:sz w:val="24"/>
          <w:szCs w:val="24"/>
        </w:rPr>
      </w:pPr>
      <w:r w:rsidRPr="006B0354">
        <w:rPr>
          <w:sz w:val="24"/>
          <w:szCs w:val="24"/>
        </w:rPr>
        <w:t xml:space="preserve">La totalidad del Pasivo se concentra en el Pasivo Circulante, el cual está conformado </w:t>
      </w:r>
      <w:r w:rsidR="00D84559" w:rsidRPr="006B0354">
        <w:rPr>
          <w:sz w:val="24"/>
          <w:szCs w:val="24"/>
        </w:rPr>
        <w:t xml:space="preserve"> </w:t>
      </w:r>
      <w:r w:rsidRPr="006B0354">
        <w:rPr>
          <w:sz w:val="24"/>
          <w:szCs w:val="24"/>
        </w:rPr>
        <w:t xml:space="preserve">principalmente por la cuenta de Aportaciones al I.M.S.S., la cual refleja adeudos por concepto de cuotas IMSS de diciembre 2020 y cuotas de R.C.V. del </w:t>
      </w:r>
      <w:r w:rsidR="00D84559" w:rsidRPr="006B0354">
        <w:rPr>
          <w:sz w:val="24"/>
          <w:szCs w:val="24"/>
        </w:rPr>
        <w:t>sexto bimestre de 2020</w:t>
      </w:r>
      <w:r w:rsidRPr="006B0354">
        <w:rPr>
          <w:sz w:val="24"/>
          <w:szCs w:val="24"/>
        </w:rPr>
        <w:t>, así com</w:t>
      </w:r>
      <w:r w:rsidR="00D84559" w:rsidRPr="006B0354">
        <w:rPr>
          <w:sz w:val="24"/>
          <w:szCs w:val="24"/>
        </w:rPr>
        <w:t xml:space="preserve">o de impuesto sobre nómina, de </w:t>
      </w:r>
      <w:r w:rsidRPr="006B0354">
        <w:rPr>
          <w:sz w:val="24"/>
          <w:szCs w:val="24"/>
        </w:rPr>
        <w:t xml:space="preserve">los meses de julio, agosto, septiembre, octubre, noviembre y diciembre de 2020, </w:t>
      </w:r>
      <w:r w:rsidR="00D84559" w:rsidRPr="006B0354">
        <w:rPr>
          <w:sz w:val="24"/>
          <w:szCs w:val="24"/>
        </w:rPr>
        <w:t>y del ejercicio 2017</w:t>
      </w:r>
      <w:r w:rsidRPr="006B0354">
        <w:rPr>
          <w:sz w:val="24"/>
          <w:szCs w:val="24"/>
        </w:rPr>
        <w:t xml:space="preserve"> </w:t>
      </w:r>
      <w:r w:rsidR="00DC59B2" w:rsidRPr="006B0354">
        <w:rPr>
          <w:sz w:val="24"/>
          <w:szCs w:val="24"/>
        </w:rPr>
        <w:t>principalmente por la cuenta de Aportaciones al I.M.S.S., la cual refleja adeudos por concepto de cuotas IMSS de abril a diciembre 2017 y cuotas de R.C.V. del segundo, tercero, cuarto, quinto y sexto bimestre de 2017, así como de impuesto sobre nómina, por los meses de octubre, noviembre y diciembre de 2017, los cuales no se han cubierto debido a que</w:t>
      </w:r>
      <w:r w:rsidR="00D84559" w:rsidRPr="006B0354">
        <w:rPr>
          <w:sz w:val="24"/>
          <w:szCs w:val="24"/>
        </w:rPr>
        <w:t xml:space="preserve"> la Secretaria de Finanzas y Administración no ha suministrado a este órgano jurisdiccional</w:t>
      </w:r>
      <w:r w:rsidR="00DC59B2" w:rsidRPr="006B0354">
        <w:rPr>
          <w:sz w:val="24"/>
          <w:szCs w:val="24"/>
        </w:rPr>
        <w:t xml:space="preserve"> </w:t>
      </w:r>
      <w:r w:rsidR="00D84559" w:rsidRPr="006B0354">
        <w:rPr>
          <w:sz w:val="24"/>
          <w:szCs w:val="24"/>
        </w:rPr>
        <w:t xml:space="preserve"> $10´811,338.47 (Diez millones ochocientos once mil trescientos treinta y ocho  pesos 47/100 M.N.)  De los presupuestos de los ejercicio 2017 y 2020. </w:t>
      </w:r>
    </w:p>
    <w:p w:rsidR="00AE4EF7" w:rsidRPr="00AE4EF7" w:rsidRDefault="00AE4EF7" w:rsidP="00AE4EF7">
      <w:pPr>
        <w:pStyle w:val="Prrafodelista"/>
        <w:jc w:val="both"/>
        <w:rPr>
          <w:sz w:val="24"/>
          <w:szCs w:val="24"/>
        </w:rPr>
      </w:pPr>
    </w:p>
    <w:p w:rsidR="00DC59B2" w:rsidRPr="006B0354" w:rsidRDefault="00DC59B2" w:rsidP="006B0354">
      <w:pPr>
        <w:jc w:val="both"/>
        <w:rPr>
          <w:sz w:val="24"/>
          <w:szCs w:val="24"/>
        </w:rPr>
      </w:pPr>
      <w:r w:rsidRPr="006B0354">
        <w:rPr>
          <w:sz w:val="24"/>
          <w:szCs w:val="24"/>
        </w:rPr>
        <w:t>En el estado de situación financiera, se man</w:t>
      </w:r>
      <w:r w:rsidR="00D84559" w:rsidRPr="006B0354">
        <w:rPr>
          <w:sz w:val="24"/>
          <w:szCs w:val="24"/>
        </w:rPr>
        <w:t>ifiesta un saldo de -$20´026.602</w:t>
      </w:r>
      <w:r w:rsidRPr="006B0354">
        <w:rPr>
          <w:sz w:val="24"/>
          <w:szCs w:val="24"/>
        </w:rPr>
        <w:t>.40 en la cuenta de rectificaciones de resultados de ejercicios anteriores, el cual se conforma de la siguiente manera:</w:t>
      </w:r>
    </w:p>
    <w:tbl>
      <w:tblPr>
        <w:tblStyle w:val="Tablaconcuadrcula"/>
        <w:tblW w:w="0" w:type="auto"/>
        <w:tblInd w:w="720" w:type="dxa"/>
        <w:tblLook w:val="04A0" w:firstRow="1" w:lastRow="0" w:firstColumn="1" w:lastColumn="0" w:noHBand="0" w:noVBand="1"/>
      </w:tblPr>
      <w:tblGrid>
        <w:gridCol w:w="4038"/>
        <w:gridCol w:w="4070"/>
      </w:tblGrid>
      <w:tr w:rsidR="00DC59B2" w:rsidTr="00050F34">
        <w:tc>
          <w:tcPr>
            <w:tcW w:w="4038" w:type="dxa"/>
          </w:tcPr>
          <w:p w:rsidR="00DC59B2" w:rsidRDefault="00DC59B2" w:rsidP="00815567">
            <w:pPr>
              <w:pStyle w:val="Prrafodelista"/>
              <w:ind w:left="0"/>
              <w:jc w:val="both"/>
              <w:rPr>
                <w:sz w:val="24"/>
                <w:szCs w:val="24"/>
              </w:rPr>
            </w:pPr>
            <w:r>
              <w:rPr>
                <w:sz w:val="24"/>
                <w:szCs w:val="24"/>
              </w:rPr>
              <w:t>IMPORTE</w:t>
            </w:r>
          </w:p>
        </w:tc>
        <w:tc>
          <w:tcPr>
            <w:tcW w:w="4070" w:type="dxa"/>
          </w:tcPr>
          <w:p w:rsidR="00DC59B2" w:rsidRDefault="00DC59B2" w:rsidP="00815567">
            <w:pPr>
              <w:pStyle w:val="Prrafodelista"/>
              <w:ind w:left="0"/>
              <w:jc w:val="both"/>
              <w:rPr>
                <w:sz w:val="24"/>
                <w:szCs w:val="24"/>
              </w:rPr>
            </w:pPr>
            <w:r>
              <w:rPr>
                <w:sz w:val="24"/>
                <w:szCs w:val="24"/>
              </w:rPr>
              <w:t>CONCEPTO</w:t>
            </w:r>
          </w:p>
        </w:tc>
      </w:tr>
      <w:tr w:rsidR="00DC59B2" w:rsidTr="00050F34">
        <w:tc>
          <w:tcPr>
            <w:tcW w:w="4038" w:type="dxa"/>
          </w:tcPr>
          <w:p w:rsidR="00DC59B2" w:rsidRDefault="00DC59B2" w:rsidP="00050F34">
            <w:pPr>
              <w:pStyle w:val="Prrafodelista"/>
              <w:ind w:left="0"/>
              <w:jc w:val="both"/>
              <w:rPr>
                <w:sz w:val="24"/>
                <w:szCs w:val="24"/>
              </w:rPr>
            </w:pPr>
            <w:r>
              <w:rPr>
                <w:sz w:val="24"/>
                <w:szCs w:val="24"/>
              </w:rPr>
              <w:t>$ 18´000,000.00</w:t>
            </w:r>
          </w:p>
        </w:tc>
        <w:tc>
          <w:tcPr>
            <w:tcW w:w="4070" w:type="dxa"/>
          </w:tcPr>
          <w:p w:rsidR="00DC59B2" w:rsidRDefault="00DC59B2" w:rsidP="00815567">
            <w:pPr>
              <w:pStyle w:val="Prrafodelista"/>
              <w:ind w:left="0"/>
              <w:jc w:val="both"/>
              <w:rPr>
                <w:sz w:val="24"/>
                <w:szCs w:val="24"/>
              </w:rPr>
            </w:pPr>
            <w:r>
              <w:rPr>
                <w:sz w:val="24"/>
                <w:szCs w:val="24"/>
              </w:rPr>
              <w:t>Reembolso Correspondiente a la part</w:t>
            </w:r>
            <w:r w:rsidR="00126444">
              <w:rPr>
                <w:sz w:val="24"/>
                <w:szCs w:val="24"/>
              </w:rPr>
              <w:t>ida 58301.Edificios no residéncia</w:t>
            </w:r>
            <w:r>
              <w:rPr>
                <w:sz w:val="24"/>
                <w:szCs w:val="24"/>
              </w:rPr>
              <w:t>les para usos propio.</w:t>
            </w:r>
          </w:p>
        </w:tc>
      </w:tr>
      <w:tr w:rsidR="00DC59B2" w:rsidTr="00050F34">
        <w:tc>
          <w:tcPr>
            <w:tcW w:w="4038" w:type="dxa"/>
          </w:tcPr>
          <w:p w:rsidR="00DC59B2" w:rsidRDefault="00DC59B2" w:rsidP="00050F34">
            <w:pPr>
              <w:pStyle w:val="Prrafodelista"/>
              <w:ind w:left="0"/>
              <w:jc w:val="both"/>
              <w:rPr>
                <w:sz w:val="24"/>
                <w:szCs w:val="24"/>
              </w:rPr>
            </w:pPr>
            <w:r>
              <w:rPr>
                <w:sz w:val="24"/>
                <w:szCs w:val="24"/>
              </w:rPr>
              <w:t>$ 1´466,936.16</w:t>
            </w:r>
          </w:p>
        </w:tc>
        <w:tc>
          <w:tcPr>
            <w:tcW w:w="4070" w:type="dxa"/>
          </w:tcPr>
          <w:p w:rsidR="00DC59B2" w:rsidRDefault="00DC59B2" w:rsidP="00815567">
            <w:pPr>
              <w:pStyle w:val="Prrafodelista"/>
              <w:ind w:left="0"/>
              <w:jc w:val="both"/>
              <w:rPr>
                <w:sz w:val="24"/>
                <w:szCs w:val="24"/>
              </w:rPr>
            </w:pPr>
            <w:r>
              <w:rPr>
                <w:sz w:val="24"/>
                <w:szCs w:val="24"/>
              </w:rPr>
              <w:t>Reembolso correspondiente a la partida 13104.Primas de antigüedad.</w:t>
            </w:r>
          </w:p>
        </w:tc>
      </w:tr>
      <w:tr w:rsidR="00DC59B2" w:rsidTr="00050F34">
        <w:tc>
          <w:tcPr>
            <w:tcW w:w="4038" w:type="dxa"/>
          </w:tcPr>
          <w:p w:rsidR="00DC59B2" w:rsidRDefault="00DC59B2" w:rsidP="00050F34">
            <w:pPr>
              <w:pStyle w:val="Prrafodelista"/>
              <w:ind w:left="0"/>
              <w:jc w:val="both"/>
              <w:rPr>
                <w:sz w:val="24"/>
                <w:szCs w:val="24"/>
              </w:rPr>
            </w:pPr>
            <w:r>
              <w:rPr>
                <w:sz w:val="24"/>
                <w:szCs w:val="24"/>
              </w:rPr>
              <w:lastRenderedPageBreak/>
              <w:t>$ 8,519.16</w:t>
            </w:r>
          </w:p>
        </w:tc>
        <w:tc>
          <w:tcPr>
            <w:tcW w:w="4070" w:type="dxa"/>
          </w:tcPr>
          <w:p w:rsidR="00DC59B2" w:rsidRDefault="00DC59B2" w:rsidP="00815567">
            <w:pPr>
              <w:pStyle w:val="Prrafodelista"/>
              <w:ind w:left="0"/>
              <w:jc w:val="both"/>
              <w:rPr>
                <w:sz w:val="24"/>
                <w:szCs w:val="24"/>
              </w:rPr>
            </w:pPr>
            <w:r>
              <w:rPr>
                <w:sz w:val="24"/>
                <w:szCs w:val="24"/>
              </w:rPr>
              <w:t>Reembolso correspondiente a la partida 14404. Cuotas para el seguro de vida personal.</w:t>
            </w:r>
          </w:p>
        </w:tc>
      </w:tr>
      <w:tr w:rsidR="00DC59B2" w:rsidTr="00050F34">
        <w:tc>
          <w:tcPr>
            <w:tcW w:w="4038" w:type="dxa"/>
          </w:tcPr>
          <w:p w:rsidR="00DC59B2" w:rsidRDefault="00DC59B2" w:rsidP="00050F34">
            <w:pPr>
              <w:pStyle w:val="Prrafodelista"/>
              <w:ind w:left="0"/>
              <w:jc w:val="both"/>
              <w:rPr>
                <w:sz w:val="24"/>
                <w:szCs w:val="24"/>
              </w:rPr>
            </w:pPr>
            <w:r>
              <w:rPr>
                <w:sz w:val="24"/>
                <w:szCs w:val="24"/>
              </w:rPr>
              <w:t>$457,832.62</w:t>
            </w:r>
          </w:p>
        </w:tc>
        <w:tc>
          <w:tcPr>
            <w:tcW w:w="4070" w:type="dxa"/>
          </w:tcPr>
          <w:p w:rsidR="00DC59B2" w:rsidRDefault="00DC59B2" w:rsidP="00815567">
            <w:pPr>
              <w:pStyle w:val="Prrafodelista"/>
              <w:ind w:left="0"/>
              <w:jc w:val="both"/>
              <w:rPr>
                <w:sz w:val="24"/>
                <w:szCs w:val="24"/>
              </w:rPr>
            </w:pPr>
            <w:r>
              <w:rPr>
                <w:sz w:val="24"/>
                <w:szCs w:val="24"/>
              </w:rPr>
              <w:t>Reembolso Correspondiente a  economías generadas en el ejercicio.</w:t>
            </w:r>
          </w:p>
        </w:tc>
      </w:tr>
      <w:tr w:rsidR="00DC59B2" w:rsidTr="00050F34">
        <w:tc>
          <w:tcPr>
            <w:tcW w:w="4038" w:type="dxa"/>
          </w:tcPr>
          <w:p w:rsidR="00DC59B2" w:rsidRDefault="00D138BB" w:rsidP="00050F34">
            <w:pPr>
              <w:pStyle w:val="Prrafodelista"/>
              <w:ind w:left="0"/>
              <w:jc w:val="both"/>
              <w:rPr>
                <w:sz w:val="24"/>
                <w:szCs w:val="24"/>
              </w:rPr>
            </w:pPr>
            <w:r>
              <w:rPr>
                <w:sz w:val="24"/>
                <w:szCs w:val="24"/>
              </w:rPr>
              <w:t xml:space="preserve">$   </w:t>
            </w:r>
            <w:r w:rsidR="00DC59B2">
              <w:rPr>
                <w:sz w:val="24"/>
                <w:szCs w:val="24"/>
              </w:rPr>
              <w:t xml:space="preserve"> 1,378.19</w:t>
            </w:r>
          </w:p>
        </w:tc>
        <w:tc>
          <w:tcPr>
            <w:tcW w:w="4070" w:type="dxa"/>
          </w:tcPr>
          <w:p w:rsidR="00DC59B2" w:rsidRDefault="00DC59B2" w:rsidP="00815567">
            <w:pPr>
              <w:pStyle w:val="Prrafodelista"/>
              <w:ind w:left="0"/>
              <w:jc w:val="both"/>
              <w:rPr>
                <w:sz w:val="24"/>
                <w:szCs w:val="24"/>
              </w:rPr>
            </w:pPr>
            <w:r>
              <w:rPr>
                <w:sz w:val="24"/>
                <w:szCs w:val="24"/>
              </w:rPr>
              <w:t>Reembolso diverso.</w:t>
            </w:r>
          </w:p>
        </w:tc>
      </w:tr>
      <w:tr w:rsidR="00DC59B2" w:rsidTr="00050F34">
        <w:tc>
          <w:tcPr>
            <w:tcW w:w="4038" w:type="dxa"/>
          </w:tcPr>
          <w:p w:rsidR="00DC59B2" w:rsidRDefault="00DC59B2" w:rsidP="00050F34">
            <w:pPr>
              <w:pStyle w:val="Prrafodelista"/>
              <w:ind w:left="0"/>
              <w:jc w:val="both"/>
              <w:rPr>
                <w:sz w:val="24"/>
                <w:szCs w:val="24"/>
              </w:rPr>
            </w:pPr>
            <w:r>
              <w:rPr>
                <w:sz w:val="24"/>
                <w:szCs w:val="24"/>
              </w:rPr>
              <w:t>$   93,314.56</w:t>
            </w:r>
          </w:p>
        </w:tc>
        <w:tc>
          <w:tcPr>
            <w:tcW w:w="4070" w:type="dxa"/>
          </w:tcPr>
          <w:p w:rsidR="00DC59B2" w:rsidRDefault="00DC59B2" w:rsidP="00815567">
            <w:pPr>
              <w:pStyle w:val="Prrafodelista"/>
              <w:ind w:left="0"/>
              <w:jc w:val="both"/>
              <w:rPr>
                <w:sz w:val="24"/>
                <w:szCs w:val="24"/>
              </w:rPr>
            </w:pPr>
            <w:r>
              <w:rPr>
                <w:sz w:val="24"/>
                <w:szCs w:val="24"/>
              </w:rPr>
              <w:t>Rectificación de resultados ejercicio al 31 de diciembre,  partida 3250</w:t>
            </w:r>
          </w:p>
        </w:tc>
      </w:tr>
      <w:tr w:rsidR="00DC59B2" w:rsidTr="00050F34">
        <w:tc>
          <w:tcPr>
            <w:tcW w:w="4038" w:type="dxa"/>
          </w:tcPr>
          <w:p w:rsidR="00DC59B2" w:rsidRDefault="00DC59B2" w:rsidP="00050F34">
            <w:pPr>
              <w:pStyle w:val="Prrafodelista"/>
              <w:ind w:left="0"/>
              <w:jc w:val="both"/>
              <w:rPr>
                <w:sz w:val="24"/>
                <w:szCs w:val="24"/>
              </w:rPr>
            </w:pPr>
            <w:r>
              <w:rPr>
                <w:sz w:val="24"/>
                <w:szCs w:val="24"/>
              </w:rPr>
              <w:t>$     -1,378.19</w:t>
            </w:r>
          </w:p>
        </w:tc>
        <w:tc>
          <w:tcPr>
            <w:tcW w:w="4070" w:type="dxa"/>
          </w:tcPr>
          <w:p w:rsidR="00DC59B2" w:rsidRDefault="00DC59B2" w:rsidP="00815567">
            <w:pPr>
              <w:pStyle w:val="Prrafodelista"/>
              <w:ind w:left="0"/>
              <w:jc w:val="both"/>
              <w:rPr>
                <w:sz w:val="24"/>
                <w:szCs w:val="24"/>
              </w:rPr>
            </w:pPr>
            <w:r>
              <w:rPr>
                <w:sz w:val="24"/>
                <w:szCs w:val="24"/>
              </w:rPr>
              <w:t>Rectificación de resultados ejercicio al 31 de diciembre 2019 a l partida 3250-2019</w:t>
            </w:r>
          </w:p>
        </w:tc>
      </w:tr>
      <w:tr w:rsidR="00DC59B2" w:rsidTr="00050F34">
        <w:tc>
          <w:tcPr>
            <w:tcW w:w="4038" w:type="dxa"/>
          </w:tcPr>
          <w:p w:rsidR="00DC59B2" w:rsidRDefault="00DC59B2" w:rsidP="00050F34">
            <w:pPr>
              <w:pStyle w:val="Prrafodelista"/>
              <w:ind w:left="0"/>
              <w:jc w:val="both"/>
              <w:rPr>
                <w:sz w:val="24"/>
                <w:szCs w:val="24"/>
              </w:rPr>
            </w:pPr>
            <w:r>
              <w:rPr>
                <w:sz w:val="24"/>
                <w:szCs w:val="24"/>
              </w:rPr>
              <w:t>$     -2,157.00</w:t>
            </w:r>
          </w:p>
        </w:tc>
        <w:tc>
          <w:tcPr>
            <w:tcW w:w="4070" w:type="dxa"/>
          </w:tcPr>
          <w:p w:rsidR="00DC59B2" w:rsidRDefault="00DC59B2" w:rsidP="00815567">
            <w:pPr>
              <w:pStyle w:val="Prrafodelista"/>
              <w:ind w:left="0"/>
              <w:jc w:val="both"/>
              <w:rPr>
                <w:sz w:val="24"/>
                <w:szCs w:val="24"/>
              </w:rPr>
            </w:pPr>
            <w:r>
              <w:rPr>
                <w:sz w:val="24"/>
                <w:szCs w:val="24"/>
              </w:rPr>
              <w:t>Reembolso Magdo. Salvador Alejandro Pérez Contreras por viáticos 2019</w:t>
            </w:r>
          </w:p>
        </w:tc>
      </w:tr>
      <w:tr w:rsidR="00D84559" w:rsidTr="00050F34">
        <w:tc>
          <w:tcPr>
            <w:tcW w:w="4038" w:type="dxa"/>
          </w:tcPr>
          <w:p w:rsidR="00D84559" w:rsidRDefault="00050F34" w:rsidP="00050F34">
            <w:pPr>
              <w:pStyle w:val="Prrafodelista"/>
              <w:ind w:left="0"/>
              <w:jc w:val="both"/>
              <w:rPr>
                <w:sz w:val="24"/>
                <w:szCs w:val="24"/>
              </w:rPr>
            </w:pPr>
            <w:r>
              <w:rPr>
                <w:sz w:val="24"/>
                <w:szCs w:val="24"/>
              </w:rPr>
              <w:t>$       1,000.00</w:t>
            </w:r>
          </w:p>
        </w:tc>
        <w:tc>
          <w:tcPr>
            <w:tcW w:w="4070" w:type="dxa"/>
          </w:tcPr>
          <w:p w:rsidR="00D84559" w:rsidRDefault="00050F34" w:rsidP="00815567">
            <w:pPr>
              <w:pStyle w:val="Prrafodelista"/>
              <w:ind w:left="0"/>
              <w:jc w:val="both"/>
              <w:rPr>
                <w:sz w:val="24"/>
                <w:szCs w:val="24"/>
              </w:rPr>
            </w:pPr>
            <w:r>
              <w:rPr>
                <w:sz w:val="24"/>
                <w:szCs w:val="24"/>
              </w:rPr>
              <w:t>Reembolso de remanentes de combustible 2019</w:t>
            </w:r>
          </w:p>
        </w:tc>
      </w:tr>
      <w:tr w:rsidR="00050F34" w:rsidTr="00050F34">
        <w:tc>
          <w:tcPr>
            <w:tcW w:w="4038" w:type="dxa"/>
          </w:tcPr>
          <w:p w:rsidR="00050F34" w:rsidRDefault="00050F34" w:rsidP="00050F34">
            <w:pPr>
              <w:pStyle w:val="Prrafodelista"/>
              <w:ind w:left="0"/>
              <w:jc w:val="both"/>
              <w:rPr>
                <w:sz w:val="24"/>
                <w:szCs w:val="24"/>
              </w:rPr>
            </w:pPr>
            <w:r>
              <w:rPr>
                <w:sz w:val="24"/>
                <w:szCs w:val="24"/>
              </w:rPr>
              <w:t>$          520.00</w:t>
            </w:r>
          </w:p>
        </w:tc>
        <w:tc>
          <w:tcPr>
            <w:tcW w:w="4070" w:type="dxa"/>
          </w:tcPr>
          <w:p w:rsidR="00050F34" w:rsidRDefault="00050F34" w:rsidP="00050F34">
            <w:pPr>
              <w:pStyle w:val="Prrafodelista"/>
              <w:ind w:left="0"/>
              <w:jc w:val="both"/>
              <w:rPr>
                <w:sz w:val="24"/>
                <w:szCs w:val="24"/>
              </w:rPr>
            </w:pPr>
            <w:r>
              <w:rPr>
                <w:sz w:val="24"/>
                <w:szCs w:val="24"/>
              </w:rPr>
              <w:t>Reembolso de remanentes de combustible 2019</w:t>
            </w:r>
          </w:p>
        </w:tc>
      </w:tr>
      <w:tr w:rsidR="00050F34" w:rsidTr="00050F34">
        <w:tc>
          <w:tcPr>
            <w:tcW w:w="4038" w:type="dxa"/>
          </w:tcPr>
          <w:p w:rsidR="00050F34" w:rsidRDefault="00050F34" w:rsidP="00050F34">
            <w:pPr>
              <w:pStyle w:val="Prrafodelista"/>
              <w:ind w:left="0"/>
              <w:jc w:val="both"/>
              <w:rPr>
                <w:sz w:val="24"/>
                <w:szCs w:val="24"/>
              </w:rPr>
            </w:pPr>
          </w:p>
        </w:tc>
        <w:tc>
          <w:tcPr>
            <w:tcW w:w="4070" w:type="dxa"/>
          </w:tcPr>
          <w:p w:rsidR="00050F34" w:rsidRDefault="00050F34" w:rsidP="00050F34">
            <w:pPr>
              <w:pStyle w:val="Prrafodelista"/>
              <w:ind w:left="0"/>
              <w:jc w:val="both"/>
              <w:rPr>
                <w:sz w:val="24"/>
                <w:szCs w:val="24"/>
              </w:rPr>
            </w:pPr>
          </w:p>
        </w:tc>
      </w:tr>
    </w:tbl>
    <w:p w:rsidR="00DC59B2" w:rsidRPr="00902B12" w:rsidRDefault="00DC59B2" w:rsidP="00DC59B2">
      <w:pPr>
        <w:jc w:val="both"/>
        <w:rPr>
          <w:sz w:val="24"/>
          <w:szCs w:val="24"/>
        </w:rPr>
      </w:pPr>
    </w:p>
    <w:p w:rsidR="00DC59B2" w:rsidRDefault="00DC59B2" w:rsidP="00DC59B2">
      <w:pPr>
        <w:pStyle w:val="Prrafodelista"/>
        <w:jc w:val="both"/>
        <w:rPr>
          <w:sz w:val="24"/>
          <w:szCs w:val="24"/>
        </w:rPr>
      </w:pPr>
      <w:r>
        <w:rPr>
          <w:sz w:val="24"/>
          <w:szCs w:val="24"/>
        </w:rPr>
        <w:t xml:space="preserve">1) Al 31 de diciembre de 2019 la cuenta de Rectificación de Resultados, refleja un saldo de $ - 93,314.56 (Noventa y tres mil trecientos catorce pesos 56/100.M.N) </w:t>
      </w:r>
    </w:p>
    <w:p w:rsidR="00DC59B2" w:rsidRDefault="00DC59B2" w:rsidP="00DC59B2">
      <w:pPr>
        <w:pStyle w:val="Prrafodelista"/>
        <w:jc w:val="both"/>
        <w:rPr>
          <w:sz w:val="24"/>
          <w:szCs w:val="24"/>
        </w:rPr>
      </w:pPr>
      <w:r>
        <w:rPr>
          <w:sz w:val="24"/>
          <w:szCs w:val="24"/>
        </w:rPr>
        <w:t xml:space="preserve"> </w:t>
      </w:r>
    </w:p>
    <w:p w:rsidR="00DC59B2" w:rsidRDefault="00DC59B2" w:rsidP="00DC59B2">
      <w:pPr>
        <w:pStyle w:val="Prrafodelista"/>
        <w:jc w:val="both"/>
        <w:rPr>
          <w:sz w:val="24"/>
          <w:szCs w:val="24"/>
        </w:rPr>
      </w:pPr>
      <w:r>
        <w:rPr>
          <w:sz w:val="24"/>
          <w:szCs w:val="24"/>
        </w:rPr>
        <w:t xml:space="preserve">2) Se  realizó la devolución de remanentes correspondientes al ejercicio 2019 a la Secretaria de Finanzas y Administración de recursos no ejercidos, por la cantidades siguientes: Cheque No. 35 por $ 18’000,000.00 (Dieciocho millones de pesos 00/100 M.N.) Correspondiente a la partida 58301 edificios, Cheque No. 37 por $ 1’466,936.16 (Un millón cuatrocientos sesenta  y seis mil novecientos treinta y seis pesos 16/100 M.N.) Correspondiente a la partida  13104 Primas de antigüedad, transferencia a AXXA Seguros S.A. de C.V. por $ 8,519.16 (Ocho mil quinientos diecinueve 16/100 M.N.) Por pago de primas de seguros de personal, Cheque No. 43 por $ 457,832.62 (Cuatrocientos cincuenta y siete mil ochocientos treinta y dos pesos 62/100 M.M.) Por economías generadas en el  ejercicio, Cheque No. 44 por $ 1,378.19 (un  mil trecientos setenta y ocho pesos 19/100 M.N.) a cargo de la cuenta No.02233922040101 de </w:t>
      </w:r>
      <w:proofErr w:type="spellStart"/>
      <w:r>
        <w:rPr>
          <w:sz w:val="24"/>
          <w:szCs w:val="24"/>
        </w:rPr>
        <w:t>BanBajío</w:t>
      </w:r>
      <w:proofErr w:type="spellEnd"/>
      <w:r>
        <w:rPr>
          <w:sz w:val="24"/>
          <w:szCs w:val="24"/>
        </w:rPr>
        <w:t xml:space="preserve"> de  este Tribunal  Electoral del Estado.</w:t>
      </w:r>
    </w:p>
    <w:p w:rsidR="00DC59B2" w:rsidRDefault="00DC59B2" w:rsidP="00DC59B2">
      <w:pPr>
        <w:pStyle w:val="Prrafodelista"/>
        <w:jc w:val="both"/>
        <w:rPr>
          <w:sz w:val="24"/>
          <w:szCs w:val="24"/>
        </w:rPr>
      </w:pPr>
    </w:p>
    <w:p w:rsidR="00DC59B2" w:rsidRDefault="00DC59B2" w:rsidP="00DC59B2">
      <w:pPr>
        <w:pStyle w:val="Prrafodelista"/>
        <w:jc w:val="both"/>
        <w:rPr>
          <w:sz w:val="24"/>
          <w:szCs w:val="24"/>
        </w:rPr>
      </w:pPr>
    </w:p>
    <w:p w:rsidR="00DC59B2" w:rsidRDefault="00050F34" w:rsidP="00DC59B2">
      <w:pPr>
        <w:pStyle w:val="Prrafodelista"/>
        <w:jc w:val="both"/>
        <w:rPr>
          <w:sz w:val="24"/>
          <w:szCs w:val="24"/>
        </w:rPr>
      </w:pPr>
      <w:r>
        <w:rPr>
          <w:sz w:val="24"/>
          <w:szCs w:val="24"/>
        </w:rPr>
        <w:t>3) E</w:t>
      </w:r>
      <w:r w:rsidR="00DC59B2">
        <w:rPr>
          <w:sz w:val="24"/>
          <w:szCs w:val="24"/>
        </w:rPr>
        <w:t>l Magistrado Salvador Alejandro Pérez Contreras realizo el día 20/09/2020 un deposito a la cuenta bancaria 0197437005 de la Institución bancaria BBVA por la cantidad de $ 2,157.00 (Dos mil ciento cincuenta y siete pesos 00/100 M.N.) Por concepto de reintegro de viáticos correspondientes al ejercicio 2019.</w:t>
      </w:r>
    </w:p>
    <w:p w:rsidR="00050F34" w:rsidRDefault="00050F34" w:rsidP="00DC59B2">
      <w:pPr>
        <w:pStyle w:val="Prrafodelista"/>
        <w:jc w:val="both"/>
        <w:rPr>
          <w:sz w:val="24"/>
          <w:szCs w:val="24"/>
        </w:rPr>
      </w:pPr>
    </w:p>
    <w:p w:rsidR="00050F34" w:rsidRPr="006B0354" w:rsidRDefault="00050F34" w:rsidP="006B0354">
      <w:pPr>
        <w:jc w:val="both"/>
        <w:rPr>
          <w:sz w:val="24"/>
          <w:szCs w:val="24"/>
        </w:rPr>
      </w:pPr>
      <w:r w:rsidRPr="006B0354">
        <w:rPr>
          <w:sz w:val="24"/>
          <w:szCs w:val="24"/>
        </w:rPr>
        <w:lastRenderedPageBreak/>
        <w:t xml:space="preserve">4) Se  realizó 2 </w:t>
      </w:r>
      <w:r w:rsidR="00A11B83" w:rsidRPr="006B0354">
        <w:rPr>
          <w:sz w:val="24"/>
          <w:szCs w:val="24"/>
        </w:rPr>
        <w:t>depósitos los</w:t>
      </w:r>
      <w:r w:rsidRPr="006B0354">
        <w:rPr>
          <w:sz w:val="24"/>
          <w:szCs w:val="24"/>
        </w:rPr>
        <w:t xml:space="preserve"> día</w:t>
      </w:r>
      <w:r w:rsidR="00A11B83" w:rsidRPr="006B0354">
        <w:rPr>
          <w:sz w:val="24"/>
          <w:szCs w:val="24"/>
        </w:rPr>
        <w:t>s</w:t>
      </w:r>
      <w:r w:rsidRPr="006B0354">
        <w:rPr>
          <w:sz w:val="24"/>
          <w:szCs w:val="24"/>
        </w:rPr>
        <w:t xml:space="preserve"> </w:t>
      </w:r>
      <w:r w:rsidR="00A11B83" w:rsidRPr="006B0354">
        <w:rPr>
          <w:sz w:val="24"/>
          <w:szCs w:val="24"/>
        </w:rPr>
        <w:t xml:space="preserve">29 y 31 del mes de diciembre 2020 </w:t>
      </w:r>
      <w:r w:rsidRPr="006B0354">
        <w:rPr>
          <w:sz w:val="24"/>
          <w:szCs w:val="24"/>
        </w:rPr>
        <w:t>a la cuenta bancaria 0197437005 de la Institución banc</w:t>
      </w:r>
      <w:r w:rsidR="00A11B83" w:rsidRPr="006B0354">
        <w:rPr>
          <w:sz w:val="24"/>
          <w:szCs w:val="24"/>
        </w:rPr>
        <w:t xml:space="preserve">aria BBVA por la cantidad de $ 1,000.00 (Un mil pesos 00/100 M.N)  y  520.00 </w:t>
      </w:r>
      <w:r w:rsidRPr="006B0354">
        <w:rPr>
          <w:sz w:val="24"/>
          <w:szCs w:val="24"/>
        </w:rPr>
        <w:t xml:space="preserve"> </w:t>
      </w:r>
      <w:r w:rsidR="00A11B83" w:rsidRPr="006B0354">
        <w:rPr>
          <w:sz w:val="24"/>
          <w:szCs w:val="24"/>
        </w:rPr>
        <w:t>(Quinientos veinte pesos</w:t>
      </w:r>
      <w:r w:rsidRPr="006B0354">
        <w:rPr>
          <w:sz w:val="24"/>
          <w:szCs w:val="24"/>
        </w:rPr>
        <w:t xml:space="preserve"> 00/100 M.N.) Por concepto de reintegro de </w:t>
      </w:r>
      <w:r w:rsidR="00A11B83" w:rsidRPr="006B0354">
        <w:rPr>
          <w:sz w:val="24"/>
          <w:szCs w:val="24"/>
        </w:rPr>
        <w:t xml:space="preserve">remanente de combustible del </w:t>
      </w:r>
      <w:r w:rsidRPr="006B0354">
        <w:rPr>
          <w:sz w:val="24"/>
          <w:szCs w:val="24"/>
        </w:rPr>
        <w:t xml:space="preserve"> ejercicio 2019</w:t>
      </w:r>
    </w:p>
    <w:p w:rsidR="00DC59B2" w:rsidRPr="00AF29E7" w:rsidRDefault="00DC59B2" w:rsidP="00DC59B2">
      <w:pPr>
        <w:pStyle w:val="Prrafodelista"/>
        <w:jc w:val="both"/>
        <w:rPr>
          <w:sz w:val="24"/>
          <w:szCs w:val="24"/>
        </w:rPr>
      </w:pPr>
    </w:p>
    <w:p w:rsidR="00DC59B2" w:rsidRPr="001017F4" w:rsidRDefault="00DC59B2" w:rsidP="00DC59B2">
      <w:pPr>
        <w:pStyle w:val="Prrafodelista"/>
        <w:numPr>
          <w:ilvl w:val="0"/>
          <w:numId w:val="5"/>
        </w:numPr>
        <w:jc w:val="both"/>
        <w:rPr>
          <w:sz w:val="24"/>
          <w:szCs w:val="24"/>
        </w:rPr>
      </w:pPr>
      <w:r w:rsidRPr="001017F4">
        <w:rPr>
          <w:sz w:val="24"/>
          <w:szCs w:val="24"/>
        </w:rPr>
        <w:t>NOTAS AL ESTADO DE ACTIVIDADES</w:t>
      </w:r>
    </w:p>
    <w:p w:rsidR="00DC59B2" w:rsidRPr="00EB2054" w:rsidRDefault="00DC59B2" w:rsidP="00DC59B2">
      <w:pPr>
        <w:pStyle w:val="Prrafodelista"/>
        <w:jc w:val="both"/>
        <w:rPr>
          <w:sz w:val="24"/>
          <w:szCs w:val="24"/>
        </w:rPr>
      </w:pPr>
    </w:p>
    <w:p w:rsidR="00DC59B2" w:rsidRPr="006B0354" w:rsidRDefault="00DC59B2" w:rsidP="006B0354">
      <w:pPr>
        <w:jc w:val="both"/>
        <w:rPr>
          <w:b/>
          <w:sz w:val="24"/>
          <w:szCs w:val="24"/>
        </w:rPr>
      </w:pPr>
      <w:r w:rsidRPr="006B0354">
        <w:rPr>
          <w:b/>
          <w:sz w:val="24"/>
          <w:szCs w:val="24"/>
        </w:rPr>
        <w:t>Ingresos y otros beneficios</w:t>
      </w:r>
    </w:p>
    <w:p w:rsidR="00DC59B2" w:rsidRPr="00EB2054" w:rsidRDefault="00DC59B2" w:rsidP="00DC59B2">
      <w:pPr>
        <w:pStyle w:val="Prrafodelista"/>
        <w:jc w:val="both"/>
        <w:rPr>
          <w:b/>
          <w:sz w:val="24"/>
          <w:szCs w:val="24"/>
        </w:rPr>
      </w:pPr>
    </w:p>
    <w:p w:rsidR="00DC59B2" w:rsidRPr="006B0354" w:rsidRDefault="00DC59B2" w:rsidP="006B0354">
      <w:pPr>
        <w:jc w:val="both"/>
        <w:rPr>
          <w:sz w:val="24"/>
          <w:szCs w:val="24"/>
        </w:rPr>
      </w:pPr>
      <w:r w:rsidRPr="006B0354">
        <w:rPr>
          <w:sz w:val="24"/>
          <w:szCs w:val="24"/>
        </w:rPr>
        <w:t>El Presupuesto autorizado por el Congreso del Estado para el ejercicio fiscal 2020 para el Tribunal Electoral del Estado de Mich</w:t>
      </w:r>
      <w:r w:rsidR="00420638" w:rsidRPr="006B0354">
        <w:rPr>
          <w:sz w:val="24"/>
          <w:szCs w:val="24"/>
        </w:rPr>
        <w:t>oacán, asciende a $72´247,852.00</w:t>
      </w:r>
      <w:r w:rsidRPr="006B0354">
        <w:rPr>
          <w:sz w:val="24"/>
          <w:szCs w:val="24"/>
        </w:rPr>
        <w:t xml:space="preserve"> (Setenta y dos millones doscientos cuarenta y siete mil ochocientos cincuenta y uno pesos 72/100 M.N.), de los cuales</w:t>
      </w:r>
      <w:r w:rsidR="009E02B5" w:rsidRPr="006B0354">
        <w:rPr>
          <w:sz w:val="24"/>
          <w:szCs w:val="24"/>
        </w:rPr>
        <w:t xml:space="preserve"> al 31 dic</w:t>
      </w:r>
      <w:r w:rsidR="00A11B83" w:rsidRPr="006B0354">
        <w:rPr>
          <w:sz w:val="24"/>
          <w:szCs w:val="24"/>
        </w:rPr>
        <w:t xml:space="preserve">iembre </w:t>
      </w:r>
      <w:r w:rsidRPr="006B0354">
        <w:rPr>
          <w:sz w:val="24"/>
          <w:szCs w:val="24"/>
        </w:rPr>
        <w:t>de 2020 se recaudaron  $</w:t>
      </w:r>
      <w:r w:rsidR="009E02B5" w:rsidRPr="006B0354">
        <w:rPr>
          <w:sz w:val="24"/>
          <w:szCs w:val="24"/>
        </w:rPr>
        <w:t>66’906,916</w:t>
      </w:r>
      <w:r w:rsidR="007C6376" w:rsidRPr="006B0354">
        <w:rPr>
          <w:sz w:val="24"/>
          <w:szCs w:val="24"/>
        </w:rPr>
        <w:t>.00</w:t>
      </w:r>
      <w:r w:rsidRPr="006B0354">
        <w:rPr>
          <w:sz w:val="24"/>
          <w:szCs w:val="24"/>
        </w:rPr>
        <w:t xml:space="preserve"> (</w:t>
      </w:r>
      <w:r w:rsidR="009E02B5" w:rsidRPr="006B0354">
        <w:rPr>
          <w:sz w:val="24"/>
          <w:szCs w:val="24"/>
        </w:rPr>
        <w:t>Sesenta y seis</w:t>
      </w:r>
      <w:r w:rsidR="007C6376" w:rsidRPr="006B0354">
        <w:rPr>
          <w:sz w:val="24"/>
          <w:szCs w:val="24"/>
        </w:rPr>
        <w:t xml:space="preserve"> millones </w:t>
      </w:r>
      <w:r w:rsidR="00A11609" w:rsidRPr="006B0354">
        <w:rPr>
          <w:sz w:val="24"/>
          <w:szCs w:val="24"/>
        </w:rPr>
        <w:t xml:space="preserve">novecientos dieciséis </w:t>
      </w:r>
      <w:r w:rsidRPr="006B0354">
        <w:rPr>
          <w:sz w:val="24"/>
          <w:szCs w:val="24"/>
        </w:rPr>
        <w:t>pesos</w:t>
      </w:r>
      <w:r w:rsidR="007C6376" w:rsidRPr="006B0354">
        <w:rPr>
          <w:sz w:val="24"/>
          <w:szCs w:val="24"/>
        </w:rPr>
        <w:t xml:space="preserve"> </w:t>
      </w:r>
      <w:r w:rsidRPr="006B0354">
        <w:rPr>
          <w:sz w:val="24"/>
          <w:szCs w:val="24"/>
        </w:rPr>
        <w:t xml:space="preserve"> 00/100 M.N.), los cuales corresponden a subsidios estatales.</w:t>
      </w:r>
    </w:p>
    <w:p w:rsidR="00DC59B2" w:rsidRPr="00420638" w:rsidRDefault="00DC59B2" w:rsidP="00DC59B2">
      <w:pPr>
        <w:pStyle w:val="Prrafodelista"/>
        <w:jc w:val="both"/>
        <w:rPr>
          <w:sz w:val="24"/>
          <w:szCs w:val="24"/>
          <w:highlight w:val="yellow"/>
        </w:rPr>
      </w:pPr>
    </w:p>
    <w:p w:rsidR="00DC59B2" w:rsidRPr="006B0354" w:rsidRDefault="00DC59B2" w:rsidP="006B0354">
      <w:pPr>
        <w:jc w:val="both"/>
        <w:rPr>
          <w:b/>
          <w:sz w:val="24"/>
          <w:szCs w:val="24"/>
        </w:rPr>
      </w:pPr>
      <w:r w:rsidRPr="006B0354">
        <w:rPr>
          <w:b/>
          <w:sz w:val="24"/>
          <w:szCs w:val="24"/>
        </w:rPr>
        <w:t>Gastos y Otras Pérdidas</w:t>
      </w:r>
    </w:p>
    <w:p w:rsidR="00DC59B2" w:rsidRPr="00D93B33" w:rsidRDefault="00DC59B2" w:rsidP="00DC59B2">
      <w:pPr>
        <w:pStyle w:val="Prrafodelista"/>
        <w:jc w:val="both"/>
        <w:rPr>
          <w:sz w:val="24"/>
          <w:szCs w:val="24"/>
        </w:rPr>
      </w:pPr>
    </w:p>
    <w:p w:rsidR="00DC59B2" w:rsidRPr="00D93B33" w:rsidRDefault="00DC59B2" w:rsidP="009F5370">
      <w:pPr>
        <w:pStyle w:val="Prrafodelista"/>
        <w:jc w:val="both"/>
        <w:rPr>
          <w:sz w:val="24"/>
          <w:szCs w:val="24"/>
        </w:rPr>
      </w:pPr>
      <w:r w:rsidRPr="00D93B33">
        <w:rPr>
          <w:sz w:val="24"/>
          <w:szCs w:val="24"/>
        </w:rPr>
        <w:t>En los gastos de funcionamiento</w:t>
      </w:r>
      <w:r w:rsidR="00941553" w:rsidRPr="00D93B33">
        <w:rPr>
          <w:sz w:val="24"/>
          <w:szCs w:val="24"/>
        </w:rPr>
        <w:t xml:space="preserve"> al 3</w:t>
      </w:r>
      <w:r w:rsidR="00A11609" w:rsidRPr="00D93B33">
        <w:rPr>
          <w:sz w:val="24"/>
          <w:szCs w:val="24"/>
        </w:rPr>
        <w:t>1</w:t>
      </w:r>
      <w:r w:rsidR="00941553" w:rsidRPr="00D93B33">
        <w:rPr>
          <w:sz w:val="24"/>
          <w:szCs w:val="24"/>
        </w:rPr>
        <w:t xml:space="preserve">  </w:t>
      </w:r>
      <w:r w:rsidR="00A11609" w:rsidRPr="00D93B33">
        <w:rPr>
          <w:sz w:val="24"/>
          <w:szCs w:val="24"/>
        </w:rPr>
        <w:t>diciembre</w:t>
      </w:r>
      <w:r w:rsidR="00082EB8" w:rsidRPr="00D93B33">
        <w:rPr>
          <w:sz w:val="24"/>
          <w:szCs w:val="24"/>
        </w:rPr>
        <w:t xml:space="preserve"> </w:t>
      </w:r>
      <w:r w:rsidRPr="00D93B33">
        <w:rPr>
          <w:sz w:val="24"/>
          <w:szCs w:val="24"/>
        </w:rPr>
        <w:t xml:space="preserve"> de 2020, el </w:t>
      </w:r>
      <w:r w:rsidR="00D93B33">
        <w:rPr>
          <w:sz w:val="24"/>
          <w:szCs w:val="24"/>
        </w:rPr>
        <w:t>94.77</w:t>
      </w:r>
      <w:r w:rsidRPr="00D93B33">
        <w:rPr>
          <w:sz w:val="24"/>
          <w:szCs w:val="24"/>
        </w:rPr>
        <w:t xml:space="preserve">% está representado por el pago de servicios personales, siendo las cuentas más representativas en éstos, el pago de sueldos a los trabajadores. El </w:t>
      </w:r>
      <w:r w:rsidR="006E4730">
        <w:rPr>
          <w:sz w:val="24"/>
          <w:szCs w:val="24"/>
        </w:rPr>
        <w:t>4.17</w:t>
      </w:r>
      <w:r w:rsidRPr="00D93B33">
        <w:rPr>
          <w:sz w:val="24"/>
          <w:szCs w:val="24"/>
        </w:rPr>
        <w:t>% de los gastos fue por concepto del pago de servicios generales, entre los cuales se encuentran otros impuestos y derechos, servicios de arrendamiento, mantenimientos en general y servicios básicos como agua y luz eléctrica.</w:t>
      </w:r>
    </w:p>
    <w:p w:rsidR="00DC59B2" w:rsidRPr="00D93B33" w:rsidRDefault="00DC59B2" w:rsidP="009F5370">
      <w:pPr>
        <w:pStyle w:val="Prrafodelista"/>
        <w:jc w:val="both"/>
        <w:rPr>
          <w:sz w:val="24"/>
          <w:szCs w:val="24"/>
        </w:rPr>
      </w:pPr>
      <w:r w:rsidRPr="00D93B33">
        <w:rPr>
          <w:sz w:val="24"/>
          <w:szCs w:val="24"/>
        </w:rPr>
        <w:t xml:space="preserve">Finalmente, el </w:t>
      </w:r>
      <w:r w:rsidR="00834E17" w:rsidRPr="00D93B33">
        <w:rPr>
          <w:sz w:val="24"/>
          <w:szCs w:val="24"/>
        </w:rPr>
        <w:t>1.0</w:t>
      </w:r>
      <w:r w:rsidR="006E4730">
        <w:rPr>
          <w:sz w:val="24"/>
          <w:szCs w:val="24"/>
        </w:rPr>
        <w:t>6</w:t>
      </w:r>
      <w:r w:rsidR="006128DC" w:rsidRPr="00D93B33">
        <w:rPr>
          <w:sz w:val="24"/>
          <w:szCs w:val="24"/>
        </w:rPr>
        <w:t xml:space="preserve"> </w:t>
      </w:r>
      <w:r w:rsidRPr="00D93B33">
        <w:rPr>
          <w:sz w:val="24"/>
          <w:szCs w:val="24"/>
        </w:rPr>
        <w:t xml:space="preserve">% de los gastos se realizaron en materiales y suministros tales como alimentos, combustibles, materiales y útiles de oficina, entre otros. </w:t>
      </w:r>
    </w:p>
    <w:p w:rsidR="009F5370" w:rsidRPr="00D93B33" w:rsidRDefault="009F5370" w:rsidP="00834E17">
      <w:pPr>
        <w:pStyle w:val="Prrafodelista"/>
        <w:jc w:val="both"/>
        <w:rPr>
          <w:sz w:val="24"/>
          <w:szCs w:val="24"/>
        </w:rPr>
      </w:pPr>
    </w:p>
    <w:p w:rsidR="00DC59B2" w:rsidRPr="00D93B33" w:rsidRDefault="00DC59B2" w:rsidP="00DC59B2">
      <w:pPr>
        <w:pStyle w:val="Prrafodelista"/>
        <w:numPr>
          <w:ilvl w:val="0"/>
          <w:numId w:val="5"/>
        </w:numPr>
        <w:jc w:val="both"/>
        <w:rPr>
          <w:sz w:val="24"/>
          <w:szCs w:val="24"/>
        </w:rPr>
      </w:pPr>
      <w:r w:rsidRPr="00D93B33">
        <w:rPr>
          <w:sz w:val="24"/>
          <w:szCs w:val="24"/>
        </w:rPr>
        <w:t>NOTAS AL ESTADO DE VARIACIÓN EN LA HACIENDA PÚBLICA</w:t>
      </w:r>
    </w:p>
    <w:p w:rsidR="00DC59B2" w:rsidRPr="00D93B33" w:rsidRDefault="00DC59B2" w:rsidP="00DC59B2">
      <w:pPr>
        <w:pStyle w:val="Prrafodelista"/>
        <w:ind w:left="1080"/>
        <w:jc w:val="both"/>
        <w:rPr>
          <w:sz w:val="24"/>
          <w:szCs w:val="24"/>
        </w:rPr>
      </w:pPr>
    </w:p>
    <w:p w:rsidR="00DC59B2" w:rsidRPr="001164E6" w:rsidRDefault="00DC59B2" w:rsidP="00DC59B2">
      <w:pPr>
        <w:jc w:val="both"/>
        <w:rPr>
          <w:rFonts w:ascii="Arial" w:eastAsia="Times New Roman" w:hAnsi="Arial" w:cs="Arial"/>
          <w:b/>
          <w:bCs/>
          <w:color w:val="FF0000"/>
          <w:sz w:val="10"/>
          <w:szCs w:val="10"/>
          <w:lang w:eastAsia="es-MX"/>
        </w:rPr>
      </w:pPr>
      <w:r w:rsidRPr="00D93B33">
        <w:rPr>
          <w:sz w:val="24"/>
          <w:szCs w:val="24"/>
        </w:rPr>
        <w:t>El saldo neto en la Hacienda Pública/Patrimonio 2020 es de $</w:t>
      </w:r>
      <w:r w:rsidR="009F5370" w:rsidRPr="00D93B33">
        <w:rPr>
          <w:sz w:val="24"/>
          <w:szCs w:val="24"/>
        </w:rPr>
        <w:t>14´198,445.44</w:t>
      </w:r>
      <w:r w:rsidR="001164E6" w:rsidRPr="00D93B33">
        <w:rPr>
          <w:sz w:val="24"/>
          <w:szCs w:val="24"/>
        </w:rPr>
        <w:t xml:space="preserve"> </w:t>
      </w:r>
      <w:r w:rsidRPr="00D93B33">
        <w:rPr>
          <w:sz w:val="24"/>
          <w:szCs w:val="24"/>
        </w:rPr>
        <w:t xml:space="preserve"> (</w:t>
      </w:r>
      <w:r w:rsidR="009F5370" w:rsidRPr="00D93B33">
        <w:rPr>
          <w:sz w:val="24"/>
          <w:szCs w:val="24"/>
        </w:rPr>
        <w:t>Catorce millones ciento noventa y ocho mil cuatrocientos cuarenta y cinco pesos 44</w:t>
      </w:r>
      <w:r w:rsidRPr="00D93B33">
        <w:rPr>
          <w:sz w:val="24"/>
          <w:szCs w:val="24"/>
        </w:rPr>
        <w:t>/100 M.N.) y corresponde a la suma del patrimonio neto del ejercicio 2019 por $32´640,672.95 (Treinta y dos millones seiscientos cuarenta mil seiscientos setenta y dos pesos 95/100 M.N.) más las variaciones en la hacienda pública del ejercicio 2020</w:t>
      </w:r>
      <w:r w:rsidR="001164E6" w:rsidRPr="00D93B33">
        <w:rPr>
          <w:sz w:val="24"/>
          <w:szCs w:val="24"/>
        </w:rPr>
        <w:t xml:space="preserve"> por $ 19’933</w:t>
      </w:r>
      <w:r w:rsidR="004079D7" w:rsidRPr="00D93B33">
        <w:rPr>
          <w:sz w:val="24"/>
          <w:szCs w:val="24"/>
        </w:rPr>
        <w:t>,</w:t>
      </w:r>
      <w:r w:rsidR="001164E6" w:rsidRPr="00D93B33">
        <w:rPr>
          <w:sz w:val="24"/>
          <w:szCs w:val="24"/>
        </w:rPr>
        <w:t>287.84</w:t>
      </w:r>
      <w:r w:rsidR="004079D7" w:rsidRPr="00D93B33">
        <w:rPr>
          <w:sz w:val="24"/>
          <w:szCs w:val="24"/>
        </w:rPr>
        <w:t xml:space="preserve"> (Diecinueve millones nov</w:t>
      </w:r>
      <w:r w:rsidR="001164E6" w:rsidRPr="00D93B33">
        <w:rPr>
          <w:sz w:val="24"/>
          <w:szCs w:val="24"/>
        </w:rPr>
        <w:t>ecientos treinta y tres</w:t>
      </w:r>
      <w:r w:rsidR="004079D7" w:rsidRPr="00D93B33">
        <w:rPr>
          <w:sz w:val="24"/>
          <w:szCs w:val="24"/>
        </w:rPr>
        <w:t xml:space="preserve"> mil </w:t>
      </w:r>
      <w:r w:rsidR="001164E6" w:rsidRPr="00D93B33">
        <w:rPr>
          <w:sz w:val="24"/>
          <w:szCs w:val="24"/>
        </w:rPr>
        <w:t>doscientos ochenta y siete</w:t>
      </w:r>
      <w:r w:rsidR="004079D7" w:rsidRPr="00D93B33">
        <w:rPr>
          <w:sz w:val="24"/>
          <w:szCs w:val="24"/>
        </w:rPr>
        <w:t xml:space="preserve"> pesos 84</w:t>
      </w:r>
      <w:r w:rsidRPr="00D93B33">
        <w:rPr>
          <w:sz w:val="24"/>
          <w:szCs w:val="24"/>
        </w:rPr>
        <w:t>/100 M.N).</w:t>
      </w:r>
    </w:p>
    <w:p w:rsidR="00DC59B2" w:rsidRPr="00C75F0D" w:rsidRDefault="00DC59B2" w:rsidP="00DC59B2">
      <w:pPr>
        <w:jc w:val="both"/>
        <w:rPr>
          <w:sz w:val="24"/>
          <w:szCs w:val="24"/>
        </w:rPr>
      </w:pPr>
    </w:p>
    <w:p w:rsidR="00DC59B2" w:rsidRPr="00426058" w:rsidRDefault="00DC59B2" w:rsidP="00426058">
      <w:pPr>
        <w:pStyle w:val="Prrafodelista"/>
        <w:numPr>
          <w:ilvl w:val="0"/>
          <w:numId w:val="5"/>
        </w:numPr>
        <w:jc w:val="both"/>
        <w:rPr>
          <w:sz w:val="24"/>
          <w:szCs w:val="24"/>
        </w:rPr>
      </w:pPr>
      <w:r w:rsidRPr="00EF27D6">
        <w:rPr>
          <w:sz w:val="24"/>
          <w:szCs w:val="24"/>
        </w:rPr>
        <w:lastRenderedPageBreak/>
        <w:t>NOTAS AL ESTADO DE FLUJOS DE EFECTIVO</w:t>
      </w:r>
    </w:p>
    <w:p w:rsidR="00DC59B2" w:rsidRPr="00426058" w:rsidRDefault="00DC59B2" w:rsidP="00426058">
      <w:pPr>
        <w:pStyle w:val="Prrafodelista"/>
        <w:rPr>
          <w:b/>
          <w:sz w:val="24"/>
          <w:szCs w:val="24"/>
        </w:rPr>
      </w:pPr>
      <w:r w:rsidRPr="00C75F0D">
        <w:rPr>
          <w:b/>
          <w:sz w:val="24"/>
          <w:szCs w:val="24"/>
        </w:rPr>
        <w:t>Efectivo y equivalentes</w:t>
      </w:r>
    </w:p>
    <w:tbl>
      <w:tblPr>
        <w:tblW w:w="7839" w:type="dxa"/>
        <w:tblInd w:w="661" w:type="dxa"/>
        <w:tblCellMar>
          <w:left w:w="70" w:type="dxa"/>
          <w:right w:w="70" w:type="dxa"/>
        </w:tblCellMar>
        <w:tblLook w:val="04A0" w:firstRow="1" w:lastRow="0" w:firstColumn="1" w:lastColumn="0" w:noHBand="0" w:noVBand="1"/>
      </w:tblPr>
      <w:tblGrid>
        <w:gridCol w:w="3860"/>
        <w:gridCol w:w="1805"/>
        <w:gridCol w:w="2174"/>
      </w:tblGrid>
      <w:tr w:rsidR="00DC59B2" w:rsidRPr="00C75F0D" w:rsidTr="00815567">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 </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jc w:val="center"/>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2020</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jc w:val="center"/>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2019</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Efectivo en Bancos-Tesorería</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Efectivo en Bancos-Dependencias</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A11609" w:rsidP="00815567">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615990">
              <w:rPr>
                <w:rFonts w:ascii="Calibri" w:eastAsia="Times New Roman" w:hAnsi="Calibri" w:cs="Times New Roman"/>
                <w:color w:val="000000"/>
                <w:lang w:eastAsia="es-MX"/>
              </w:rPr>
              <w:t xml:space="preserve"> </w:t>
            </w:r>
            <w:r w:rsidR="00615990">
              <w:rPr>
                <w:rFonts w:ascii="Calibri" w:eastAsia="Times New Roman" w:hAnsi="Calibri" w:cs="Times New Roman"/>
                <w:lang w:eastAsia="es-MX"/>
              </w:rPr>
              <w:t>2,135.15</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$ 19´138,311.47</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Inversiones temporales (hasta 3 meses)</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Fondos con afectación específica</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Depósitos de fondos de terceros y otros</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w:t>
            </w:r>
          </w:p>
        </w:tc>
      </w:tr>
      <w:tr w:rsidR="00DC59B2" w:rsidRPr="00C75F0D" w:rsidTr="00815567">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Total de efectivo y equivalentes</w:t>
            </w:r>
          </w:p>
        </w:tc>
        <w:tc>
          <w:tcPr>
            <w:tcW w:w="1805"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b/>
                <w:bCs/>
                <w:color w:val="000000"/>
                <w:lang w:eastAsia="es-MX"/>
              </w:rPr>
            </w:pPr>
            <w:r w:rsidRPr="002B0F4E">
              <w:rPr>
                <w:rFonts w:ascii="Calibri" w:eastAsia="Times New Roman" w:hAnsi="Calibri" w:cs="Times New Roman"/>
                <w:b/>
                <w:bCs/>
                <w:color w:val="000000"/>
                <w:lang w:eastAsia="es-MX"/>
              </w:rPr>
              <w:t xml:space="preserve"> $ </w:t>
            </w:r>
            <w:r w:rsidR="00615990">
              <w:rPr>
                <w:rFonts w:ascii="Calibri" w:eastAsia="Times New Roman" w:hAnsi="Calibri" w:cs="Times New Roman"/>
                <w:b/>
                <w:bCs/>
                <w:color w:val="000000"/>
                <w:lang w:eastAsia="es-MX"/>
              </w:rPr>
              <w:t xml:space="preserve"> </w:t>
            </w:r>
            <w:r w:rsidR="00615990">
              <w:rPr>
                <w:rFonts w:ascii="Calibri" w:eastAsia="Times New Roman" w:hAnsi="Calibri" w:cs="Times New Roman"/>
                <w:lang w:eastAsia="es-MX"/>
              </w:rPr>
              <w:t>2,135.15</w:t>
            </w:r>
          </w:p>
        </w:tc>
        <w:tc>
          <w:tcPr>
            <w:tcW w:w="2174" w:type="dxa"/>
            <w:tcBorders>
              <w:top w:val="nil"/>
              <w:left w:val="nil"/>
              <w:bottom w:val="single" w:sz="4" w:space="0" w:color="auto"/>
              <w:right w:val="single" w:sz="4" w:space="0" w:color="auto"/>
            </w:tcBorders>
            <w:shd w:val="clear" w:color="auto" w:fill="auto"/>
            <w:noWrap/>
            <w:vAlign w:val="bottom"/>
            <w:hideMark/>
          </w:tcPr>
          <w:p w:rsidR="00DC59B2" w:rsidRPr="002B0F4E" w:rsidRDefault="00DC59B2" w:rsidP="00815567">
            <w:pPr>
              <w:spacing w:after="0" w:line="240" w:lineRule="auto"/>
              <w:rPr>
                <w:rFonts w:ascii="Calibri" w:eastAsia="Times New Roman" w:hAnsi="Calibri" w:cs="Times New Roman"/>
                <w:b/>
                <w:bCs/>
                <w:color w:val="000000"/>
                <w:lang w:eastAsia="es-MX"/>
              </w:rPr>
            </w:pPr>
            <w:r w:rsidRPr="002B0F4E">
              <w:rPr>
                <w:rFonts w:ascii="Calibri" w:eastAsia="Times New Roman" w:hAnsi="Calibri" w:cs="Times New Roman"/>
                <w:b/>
                <w:bCs/>
                <w:color w:val="000000"/>
                <w:lang w:eastAsia="es-MX"/>
              </w:rPr>
              <w:t xml:space="preserve"> $  19´138,311.47</w:t>
            </w:r>
          </w:p>
        </w:tc>
      </w:tr>
    </w:tbl>
    <w:p w:rsidR="00DC59B2" w:rsidRPr="00E566E9" w:rsidRDefault="00DC59B2" w:rsidP="00DC59B2">
      <w:pPr>
        <w:jc w:val="both"/>
        <w:rPr>
          <w:sz w:val="24"/>
          <w:szCs w:val="24"/>
        </w:rPr>
      </w:pPr>
    </w:p>
    <w:p w:rsidR="00DC59B2" w:rsidRDefault="00DC59B2" w:rsidP="00DC59B2">
      <w:pPr>
        <w:ind w:left="708"/>
        <w:jc w:val="both"/>
        <w:rPr>
          <w:b/>
          <w:sz w:val="24"/>
          <w:szCs w:val="24"/>
        </w:rPr>
      </w:pPr>
      <w:r w:rsidRPr="00BE5D60">
        <w:rPr>
          <w:b/>
          <w:sz w:val="24"/>
          <w:szCs w:val="24"/>
        </w:rPr>
        <w:t>Adquisiciones de Bienes Muebles</w:t>
      </w:r>
      <w:r>
        <w:rPr>
          <w:b/>
          <w:sz w:val="24"/>
          <w:szCs w:val="24"/>
        </w:rPr>
        <w:t xml:space="preserve"> en el periodo</w:t>
      </w:r>
    </w:p>
    <w:p w:rsidR="00DC59B2" w:rsidRPr="007D2674" w:rsidRDefault="00DC59B2" w:rsidP="00DC59B2">
      <w:pPr>
        <w:ind w:left="708"/>
        <w:jc w:val="both"/>
        <w:rPr>
          <w:b/>
          <w:sz w:val="24"/>
          <w:szCs w:val="24"/>
        </w:rPr>
      </w:pPr>
      <w:r w:rsidRPr="00541489">
        <w:rPr>
          <w:b/>
          <w:sz w:val="24"/>
          <w:szCs w:val="24"/>
        </w:rPr>
        <w:t>Conciliación de los Flujos de Efectivo Netos de las Actividades de Operación y la cuenta de Ahorro/Desahorro antes de Rubros Extraordinarios.</w:t>
      </w:r>
    </w:p>
    <w:p w:rsidR="00DC59B2" w:rsidRDefault="00DC59B2" w:rsidP="00DC59B2">
      <w:pPr>
        <w:ind w:left="708"/>
        <w:jc w:val="both"/>
        <w:rPr>
          <w:sz w:val="24"/>
          <w:szCs w:val="24"/>
        </w:rPr>
      </w:pPr>
      <w:r w:rsidRPr="00C75F0D">
        <w:rPr>
          <w:sz w:val="24"/>
          <w:szCs w:val="24"/>
        </w:rPr>
        <w:t>En el Estado de Flujo de Efectivo, en el origen se refleja el subsidio estatal recibido por</w:t>
      </w:r>
      <w:r>
        <w:rPr>
          <w:sz w:val="24"/>
          <w:szCs w:val="24"/>
        </w:rPr>
        <w:t xml:space="preserve"> esta entidad al </w:t>
      </w:r>
      <w:r w:rsidR="00A11609">
        <w:rPr>
          <w:sz w:val="24"/>
          <w:szCs w:val="24"/>
        </w:rPr>
        <w:t>31  de diciembre</w:t>
      </w:r>
      <w:r w:rsidR="004079D7">
        <w:rPr>
          <w:sz w:val="24"/>
          <w:szCs w:val="24"/>
        </w:rPr>
        <w:t xml:space="preserve"> </w:t>
      </w:r>
      <w:r>
        <w:rPr>
          <w:sz w:val="24"/>
          <w:szCs w:val="24"/>
        </w:rPr>
        <w:t xml:space="preserve"> de 2020, por </w:t>
      </w:r>
      <w:r w:rsidRPr="00C75F0D">
        <w:rPr>
          <w:sz w:val="24"/>
          <w:szCs w:val="24"/>
        </w:rPr>
        <w:t xml:space="preserve"> </w:t>
      </w:r>
      <w:r w:rsidR="00A11609" w:rsidRPr="00A11609">
        <w:rPr>
          <w:sz w:val="24"/>
          <w:szCs w:val="24"/>
        </w:rPr>
        <w:t xml:space="preserve">$66’906,916.00 (Sesenta y seis millones novecientos dieciséis pesos  00/100 M.N.), </w:t>
      </w:r>
      <w:r w:rsidRPr="00496125">
        <w:rPr>
          <w:sz w:val="24"/>
          <w:szCs w:val="24"/>
        </w:rPr>
        <w:t>En la aplicación, el gasto más representativo a la fecha es en el rubro de Servicios Personales con $</w:t>
      </w:r>
      <w:r w:rsidR="004E352F">
        <w:rPr>
          <w:sz w:val="24"/>
          <w:szCs w:val="24"/>
        </w:rPr>
        <w:t>63´406,457.57</w:t>
      </w:r>
      <w:r w:rsidRPr="00496125">
        <w:rPr>
          <w:sz w:val="24"/>
          <w:szCs w:val="24"/>
        </w:rPr>
        <w:t xml:space="preserve"> (</w:t>
      </w:r>
      <w:r w:rsidR="004E352F">
        <w:rPr>
          <w:sz w:val="24"/>
          <w:szCs w:val="24"/>
        </w:rPr>
        <w:t>Sesenta y tres millones cuatrocientos seis mil cuatrocientos cincuenta y siete pesos 57</w:t>
      </w:r>
      <w:r w:rsidRPr="00496125">
        <w:rPr>
          <w:sz w:val="24"/>
          <w:szCs w:val="24"/>
        </w:rPr>
        <w:t xml:space="preserve">/100 M.N.) principalmente para el pago de la nómina de los trabajadores. </w:t>
      </w:r>
    </w:p>
    <w:p w:rsidR="00DC59B2" w:rsidRPr="00541489" w:rsidRDefault="00DC59B2" w:rsidP="00DC59B2">
      <w:pPr>
        <w:ind w:left="708"/>
        <w:jc w:val="both"/>
        <w:rPr>
          <w:sz w:val="24"/>
          <w:szCs w:val="24"/>
        </w:rPr>
      </w:pPr>
      <w:r>
        <w:rPr>
          <w:sz w:val="24"/>
          <w:szCs w:val="24"/>
        </w:rPr>
        <w:t xml:space="preserve">V. </w:t>
      </w:r>
      <w:r w:rsidRPr="00C75F0D">
        <w:rPr>
          <w:sz w:val="24"/>
          <w:szCs w:val="24"/>
        </w:rPr>
        <w:t>CONCILIACIÓN ENTRE LOS INGRESOS PRESUPUESTARIOS Y CONTABLES, ASÍ COMO ENTRE LOS EGRESOS PRESUPUESTARIOS Y LOS GASTOS CONTABLES</w:t>
      </w:r>
    </w:p>
    <w:tbl>
      <w:tblPr>
        <w:tblW w:w="10300" w:type="dxa"/>
        <w:tblInd w:w="75" w:type="dxa"/>
        <w:tblCellMar>
          <w:left w:w="70" w:type="dxa"/>
          <w:right w:w="70" w:type="dxa"/>
        </w:tblCellMar>
        <w:tblLook w:val="04A0" w:firstRow="1" w:lastRow="0" w:firstColumn="1" w:lastColumn="0" w:noHBand="0" w:noVBand="1"/>
      </w:tblPr>
      <w:tblGrid>
        <w:gridCol w:w="674"/>
        <w:gridCol w:w="7043"/>
        <w:gridCol w:w="1097"/>
        <w:gridCol w:w="1486"/>
      </w:tblGrid>
      <w:tr w:rsidR="00DC59B2" w:rsidRPr="00C75F0D" w:rsidTr="00815567">
        <w:trPr>
          <w:trHeight w:val="240"/>
        </w:trPr>
        <w:tc>
          <w:tcPr>
            <w:tcW w:w="103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TRIBUNAL ELECTORAL DEL ESTADO</w:t>
            </w:r>
          </w:p>
        </w:tc>
      </w:tr>
      <w:tr w:rsidR="00DC59B2" w:rsidRPr="00C75F0D" w:rsidTr="00815567">
        <w:trPr>
          <w:trHeight w:val="240"/>
        </w:trPr>
        <w:tc>
          <w:tcPr>
            <w:tcW w:w="10300" w:type="dxa"/>
            <w:gridSpan w:val="4"/>
            <w:tcBorders>
              <w:top w:val="nil"/>
              <w:left w:val="single" w:sz="4" w:space="0" w:color="auto"/>
              <w:bottom w:val="nil"/>
              <w:right w:val="single" w:sz="4" w:space="0" w:color="000000"/>
            </w:tcBorders>
            <w:shd w:val="clear" w:color="000000" w:fill="BFBFBF"/>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Conciliación entre los Ingresos Presupuestarios y Contables</w:t>
            </w:r>
          </w:p>
        </w:tc>
      </w:tr>
      <w:tr w:rsidR="00DC59B2" w:rsidRPr="00C75F0D" w:rsidTr="00815567">
        <w:trPr>
          <w:trHeight w:val="240"/>
        </w:trPr>
        <w:tc>
          <w:tcPr>
            <w:tcW w:w="10300" w:type="dxa"/>
            <w:gridSpan w:val="4"/>
            <w:tcBorders>
              <w:top w:val="nil"/>
              <w:left w:val="single" w:sz="4" w:space="0" w:color="auto"/>
              <w:bottom w:val="nil"/>
              <w:right w:val="single" w:sz="4" w:space="0" w:color="000000"/>
            </w:tcBorders>
            <w:shd w:val="clear" w:color="000000" w:fill="BFBFBF"/>
            <w:noWrap/>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Corre</w:t>
            </w:r>
            <w:r>
              <w:rPr>
                <w:rFonts w:ascii="Arial" w:eastAsia="Times New Roman" w:hAnsi="Arial" w:cs="Arial"/>
                <w:b/>
                <w:bCs/>
                <w:color w:val="000000"/>
                <w:sz w:val="18"/>
                <w:szCs w:val="18"/>
                <w:lang w:eastAsia="es-MX"/>
              </w:rPr>
              <w:t xml:space="preserve">spondiente </w:t>
            </w:r>
            <w:r w:rsidR="00A11609">
              <w:rPr>
                <w:rFonts w:ascii="Arial" w:eastAsia="Times New Roman" w:hAnsi="Arial" w:cs="Arial"/>
                <w:b/>
                <w:bCs/>
                <w:color w:val="000000"/>
                <w:sz w:val="18"/>
                <w:szCs w:val="18"/>
                <w:lang w:eastAsia="es-MX"/>
              </w:rPr>
              <w:t>del 01 de enero al 31 de diciembre</w:t>
            </w:r>
            <w:r>
              <w:rPr>
                <w:rFonts w:ascii="Arial" w:eastAsia="Times New Roman" w:hAnsi="Arial" w:cs="Arial"/>
                <w:b/>
                <w:bCs/>
                <w:color w:val="000000"/>
                <w:sz w:val="18"/>
                <w:szCs w:val="18"/>
                <w:lang w:eastAsia="es-MX"/>
              </w:rPr>
              <w:t xml:space="preserve">  de</w:t>
            </w:r>
            <w:r w:rsidR="006128DC">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 xml:space="preserve"> 2020</w:t>
            </w:r>
          </w:p>
        </w:tc>
      </w:tr>
      <w:tr w:rsidR="00DC59B2" w:rsidRPr="00C75F0D" w:rsidTr="00815567">
        <w:trPr>
          <w:trHeight w:val="240"/>
        </w:trPr>
        <w:tc>
          <w:tcPr>
            <w:tcW w:w="103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(Cifras en pesos)</w:t>
            </w:r>
          </w:p>
        </w:tc>
      </w:tr>
      <w:tr w:rsidR="00DC59B2" w:rsidRPr="00C75F0D" w:rsidTr="00815567">
        <w:trPr>
          <w:trHeight w:val="240"/>
        </w:trPr>
        <w:tc>
          <w:tcPr>
            <w:tcW w:w="771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 TOTAL DE INGRESOS PRESUPUESTARIOS</w:t>
            </w:r>
          </w:p>
        </w:tc>
        <w:tc>
          <w:tcPr>
            <w:tcW w:w="1097"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486" w:type="dxa"/>
            <w:tcBorders>
              <w:top w:val="nil"/>
              <w:left w:val="single" w:sz="4" w:space="0" w:color="auto"/>
              <w:bottom w:val="single" w:sz="4" w:space="0" w:color="auto"/>
              <w:right w:val="single" w:sz="4" w:space="0" w:color="auto"/>
            </w:tcBorders>
            <w:shd w:val="clear" w:color="000000" w:fill="BFBFBF"/>
            <w:noWrap/>
            <w:vAlign w:val="center"/>
            <w:hideMark/>
          </w:tcPr>
          <w:p w:rsidR="00DC59B2" w:rsidRPr="00C75F0D" w:rsidRDefault="00A11609" w:rsidP="00815567">
            <w:pPr>
              <w:spacing w:after="0" w:line="240" w:lineRule="auto"/>
              <w:rPr>
                <w:rFonts w:ascii="Arial" w:eastAsia="Times New Roman" w:hAnsi="Arial" w:cs="Arial"/>
                <w:b/>
                <w:bCs/>
                <w:color w:val="000000"/>
                <w:sz w:val="18"/>
                <w:szCs w:val="18"/>
                <w:lang w:eastAsia="es-MX"/>
              </w:rPr>
            </w:pPr>
            <w:r w:rsidRPr="0084675D">
              <w:rPr>
                <w:rFonts w:ascii="Arial" w:eastAsia="Times New Roman" w:hAnsi="Arial" w:cs="Arial"/>
                <w:b/>
                <w:bCs/>
                <w:color w:val="000000"/>
                <w:sz w:val="18"/>
                <w:szCs w:val="18"/>
                <w:lang w:eastAsia="es-MX"/>
              </w:rPr>
              <w:t>66´906,916.00</w:t>
            </w:r>
          </w:p>
        </w:tc>
      </w:tr>
      <w:tr w:rsidR="00DC59B2" w:rsidRPr="00C75F0D" w:rsidTr="00815567">
        <w:trPr>
          <w:trHeight w:val="240"/>
        </w:trPr>
        <w:tc>
          <w:tcPr>
            <w:tcW w:w="771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Arial" w:eastAsia="Times New Roman" w:hAnsi="Arial" w:cs="Arial"/>
                <w:b/>
                <w:bCs/>
                <w:color w:val="000000"/>
                <w:sz w:val="18"/>
                <w:szCs w:val="18"/>
                <w:lang w:eastAsia="es-MX"/>
              </w:rPr>
            </w:pPr>
          </w:p>
        </w:tc>
        <w:tc>
          <w:tcPr>
            <w:tcW w:w="1097"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486"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 MÁS INGRESOS CONTABLES NO PRESUPUESTARIOS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DC59B2" w:rsidRDefault="00DC59B2"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0.16</w:t>
            </w:r>
          </w:p>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 INGRESOS FINANCIEROS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Default="00DC59B2"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0.16</w:t>
            </w:r>
          </w:p>
          <w:p w:rsidR="00DC59B2" w:rsidRPr="00C75F0D" w:rsidRDefault="00DC59B2" w:rsidP="00815567">
            <w:pPr>
              <w:spacing w:after="0" w:line="240" w:lineRule="auto"/>
              <w:jc w:val="center"/>
              <w:rPr>
                <w:rFonts w:ascii="Arial" w:eastAsia="Times New Roman" w:hAnsi="Arial" w:cs="Arial"/>
                <w:color w:val="000000"/>
                <w:sz w:val="18"/>
                <w:szCs w:val="18"/>
                <w:lang w:eastAsia="es-MX"/>
              </w:rPr>
            </w:pP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 INCREMENTO POR VARIACIÓN DE INVENTARIOS</w:t>
            </w:r>
          </w:p>
        </w:tc>
        <w:tc>
          <w:tcPr>
            <w:tcW w:w="1097" w:type="dxa"/>
            <w:tcBorders>
              <w:top w:val="nil"/>
              <w:left w:val="nil"/>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.3 DISMINUCIÓN DEL EXCESO DE ESTIMACIONES POR PÉRDIDA O DETERIORO U OBSOLESCENCIA</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 DISMINUCIÓN DEL EXCESO DE PROVISIONES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.5 OTROS INGRESOS Y BENEFICIOS VARIOS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.6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71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486"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 MENOS INGRESOS PRESUPUESTARIOS NO CONTABLES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3.1 APROVECHAMIENTOS PATRIMONIALES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lastRenderedPageBreak/>
              <w:t> </w:t>
            </w:r>
          </w:p>
        </w:tc>
        <w:tc>
          <w:tcPr>
            <w:tcW w:w="7043" w:type="dxa"/>
            <w:tcBorders>
              <w:top w:val="nil"/>
              <w:left w:val="nil"/>
              <w:bottom w:val="single" w:sz="4" w:space="0" w:color="auto"/>
              <w:right w:val="single" w:sz="4" w:space="0" w:color="auto"/>
            </w:tcBorders>
            <w:shd w:val="clear" w:color="auto" w:fill="auto"/>
            <w:vAlign w:val="center"/>
          </w:tcPr>
          <w:p w:rsidR="00DC59B2" w:rsidRPr="00B117B7" w:rsidRDefault="00DC59B2" w:rsidP="00815567">
            <w:pPr>
              <w:spacing w:after="0" w:line="240" w:lineRule="auto"/>
              <w:ind w:firstLineChars="100" w:firstLine="160"/>
              <w:rPr>
                <w:rFonts w:ascii="Arial" w:eastAsia="Times New Roman" w:hAnsi="Arial" w:cs="Arial"/>
                <w:color w:val="000000"/>
                <w:sz w:val="16"/>
                <w:szCs w:val="16"/>
                <w:lang w:eastAsia="es-MX"/>
              </w:rPr>
            </w:pPr>
            <w:r w:rsidRPr="00B117B7">
              <w:rPr>
                <w:rFonts w:ascii="Arial" w:eastAsia="Times New Roman" w:hAnsi="Arial" w:cs="Arial"/>
                <w:color w:val="000000"/>
                <w:sz w:val="16"/>
                <w:szCs w:val="16"/>
                <w:lang w:eastAsia="es-MX"/>
              </w:rPr>
              <w:t>3.2 INGRESOS DERIVADOS DE FINANCIAMIENTOS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674"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rsidR="00DC59B2" w:rsidRPr="00B117B7" w:rsidRDefault="00DC59B2" w:rsidP="00815567">
            <w:pPr>
              <w:spacing w:after="0" w:line="240" w:lineRule="auto"/>
              <w:ind w:firstLineChars="100" w:firstLine="160"/>
              <w:rPr>
                <w:rFonts w:ascii="Arial" w:eastAsia="Times New Roman" w:hAnsi="Arial" w:cs="Arial"/>
                <w:color w:val="000000"/>
                <w:sz w:val="16"/>
                <w:szCs w:val="16"/>
                <w:lang w:eastAsia="es-MX"/>
              </w:rPr>
            </w:pPr>
            <w:r w:rsidRPr="00B117B7">
              <w:rPr>
                <w:rFonts w:ascii="Arial" w:eastAsia="Times New Roman" w:hAnsi="Arial" w:cs="Arial"/>
                <w:color w:val="000000"/>
                <w:sz w:val="16"/>
                <w:szCs w:val="16"/>
                <w:lang w:eastAsia="es-MX"/>
              </w:rPr>
              <w:t>3.3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486" w:type="dxa"/>
            <w:tcBorders>
              <w:top w:val="nil"/>
              <w:left w:val="nil"/>
              <w:bottom w:val="nil"/>
              <w:right w:val="nil"/>
            </w:tcBorders>
            <w:shd w:val="clear" w:color="auto" w:fill="auto"/>
            <w:noWrap/>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71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486"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trHeight w:val="240"/>
        </w:trPr>
        <w:tc>
          <w:tcPr>
            <w:tcW w:w="771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 TOTAL DE INGRESOS CONTABLES</w:t>
            </w:r>
          </w:p>
        </w:tc>
        <w:tc>
          <w:tcPr>
            <w:tcW w:w="1097" w:type="dxa"/>
            <w:tcBorders>
              <w:top w:val="nil"/>
              <w:left w:val="nil"/>
              <w:bottom w:val="nil"/>
              <w:right w:val="nil"/>
            </w:tcBorders>
            <w:shd w:val="clear" w:color="auto" w:fill="auto"/>
            <w:noWrap/>
            <w:vAlign w:val="bottom"/>
            <w:hideMark/>
          </w:tcPr>
          <w:p w:rsidR="00DC59B2" w:rsidRPr="00174F6C" w:rsidRDefault="00DC59B2" w:rsidP="00815567">
            <w:pPr>
              <w:spacing w:after="0" w:line="240" w:lineRule="auto"/>
              <w:rPr>
                <w:rFonts w:ascii="Arial" w:eastAsia="Times New Roman" w:hAnsi="Arial" w:cs="Arial"/>
                <w:b/>
                <w:bCs/>
                <w:color w:val="000000"/>
                <w:sz w:val="18"/>
                <w:szCs w:val="18"/>
                <w:highlight w:val="yellow"/>
                <w:lang w:eastAsia="es-MX"/>
              </w:rPr>
            </w:pPr>
          </w:p>
        </w:tc>
        <w:tc>
          <w:tcPr>
            <w:tcW w:w="148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59B2" w:rsidRPr="00174F6C" w:rsidRDefault="00A11609" w:rsidP="00815567">
            <w:pPr>
              <w:spacing w:after="0" w:line="240" w:lineRule="auto"/>
              <w:rPr>
                <w:rFonts w:ascii="Arial" w:eastAsia="Times New Roman" w:hAnsi="Arial" w:cs="Arial"/>
                <w:b/>
                <w:bCs/>
                <w:color w:val="000000"/>
                <w:sz w:val="18"/>
                <w:szCs w:val="18"/>
                <w:highlight w:val="yellow"/>
                <w:lang w:eastAsia="es-MX"/>
              </w:rPr>
            </w:pPr>
            <w:r w:rsidRPr="0084675D">
              <w:rPr>
                <w:rFonts w:ascii="Arial" w:eastAsia="Times New Roman" w:hAnsi="Arial" w:cs="Arial"/>
                <w:b/>
                <w:bCs/>
                <w:color w:val="000000"/>
                <w:sz w:val="18"/>
                <w:szCs w:val="18"/>
                <w:lang w:eastAsia="es-MX"/>
              </w:rPr>
              <w:t>66´906,916.00</w:t>
            </w:r>
          </w:p>
        </w:tc>
      </w:tr>
    </w:tbl>
    <w:p w:rsidR="00DC59B2" w:rsidRPr="00C75F0D" w:rsidRDefault="00DC59B2" w:rsidP="00DC59B2">
      <w:pPr>
        <w:jc w:val="right"/>
        <w:rPr>
          <w:sz w:val="24"/>
          <w:szCs w:val="24"/>
        </w:rPr>
      </w:pPr>
    </w:p>
    <w:tbl>
      <w:tblPr>
        <w:tblW w:w="9641" w:type="dxa"/>
        <w:tblInd w:w="75" w:type="dxa"/>
        <w:tblCellMar>
          <w:left w:w="70" w:type="dxa"/>
          <w:right w:w="70" w:type="dxa"/>
        </w:tblCellMar>
        <w:tblLook w:val="04A0" w:firstRow="1" w:lastRow="0" w:firstColumn="1" w:lastColumn="0" w:noHBand="0" w:noVBand="1"/>
      </w:tblPr>
      <w:tblGrid>
        <w:gridCol w:w="553"/>
        <w:gridCol w:w="6494"/>
        <w:gridCol w:w="1302"/>
        <w:gridCol w:w="1595"/>
      </w:tblGrid>
      <w:tr w:rsidR="00DC59B2" w:rsidRPr="00C75F0D" w:rsidTr="00815567">
        <w:trPr>
          <w:trHeight w:val="240"/>
        </w:trPr>
        <w:tc>
          <w:tcPr>
            <w:tcW w:w="9641"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TRIBUNAL ELECTORAL DEL ESTADO</w:t>
            </w:r>
          </w:p>
        </w:tc>
      </w:tr>
      <w:tr w:rsidR="00DC59B2" w:rsidRPr="00C75F0D" w:rsidTr="00815567">
        <w:trPr>
          <w:trHeight w:val="240"/>
        </w:trPr>
        <w:tc>
          <w:tcPr>
            <w:tcW w:w="9641" w:type="dxa"/>
            <w:gridSpan w:val="4"/>
            <w:tcBorders>
              <w:top w:val="nil"/>
              <w:left w:val="single" w:sz="4" w:space="0" w:color="auto"/>
              <w:bottom w:val="nil"/>
              <w:right w:val="single" w:sz="4" w:space="0" w:color="000000"/>
            </w:tcBorders>
            <w:shd w:val="clear" w:color="000000" w:fill="BFBFBF"/>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Conciliación entre los Egresos Presupuestarios y los Gastos Contables</w:t>
            </w:r>
          </w:p>
        </w:tc>
      </w:tr>
      <w:tr w:rsidR="00DC59B2" w:rsidRPr="00C75F0D" w:rsidTr="00815567">
        <w:trPr>
          <w:trHeight w:val="240"/>
        </w:trPr>
        <w:tc>
          <w:tcPr>
            <w:tcW w:w="9641"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Corr</w:t>
            </w:r>
            <w:r>
              <w:rPr>
                <w:rFonts w:ascii="Arial" w:eastAsia="Times New Roman" w:hAnsi="Arial" w:cs="Arial"/>
                <w:b/>
                <w:bCs/>
                <w:color w:val="000000"/>
                <w:sz w:val="18"/>
                <w:szCs w:val="18"/>
                <w:lang w:eastAsia="es-MX"/>
              </w:rPr>
              <w:t xml:space="preserve">espondiente </w:t>
            </w:r>
            <w:r w:rsidR="00174F6C">
              <w:rPr>
                <w:rFonts w:ascii="Arial" w:eastAsia="Times New Roman" w:hAnsi="Arial" w:cs="Arial"/>
                <w:b/>
                <w:bCs/>
                <w:color w:val="000000"/>
                <w:sz w:val="18"/>
                <w:szCs w:val="18"/>
                <w:lang w:eastAsia="es-MX"/>
              </w:rPr>
              <w:t>del 01 de enero al 31 de dic</w:t>
            </w:r>
            <w:r w:rsidR="006128DC">
              <w:rPr>
                <w:rFonts w:ascii="Arial" w:eastAsia="Times New Roman" w:hAnsi="Arial" w:cs="Arial"/>
                <w:b/>
                <w:bCs/>
                <w:color w:val="000000"/>
                <w:sz w:val="18"/>
                <w:szCs w:val="18"/>
                <w:lang w:eastAsia="es-MX"/>
              </w:rPr>
              <w:t>iembre</w:t>
            </w:r>
            <w:r>
              <w:rPr>
                <w:rFonts w:ascii="Arial" w:eastAsia="Times New Roman" w:hAnsi="Arial" w:cs="Arial"/>
                <w:b/>
                <w:bCs/>
                <w:color w:val="000000"/>
                <w:sz w:val="18"/>
                <w:szCs w:val="18"/>
                <w:lang w:eastAsia="es-MX"/>
              </w:rPr>
              <w:t xml:space="preserve"> de 2020</w:t>
            </w: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 TOTAL DE EGRESOS PRESUPUESTARIOS</w:t>
            </w:r>
          </w:p>
        </w:tc>
        <w:tc>
          <w:tcPr>
            <w:tcW w:w="999"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595" w:type="dxa"/>
            <w:tcBorders>
              <w:top w:val="nil"/>
              <w:left w:val="single" w:sz="4" w:space="0" w:color="auto"/>
              <w:bottom w:val="single" w:sz="4" w:space="0" w:color="auto"/>
              <w:right w:val="single" w:sz="4" w:space="0" w:color="auto"/>
            </w:tcBorders>
            <w:shd w:val="clear" w:color="000000" w:fill="BFBFBF"/>
            <w:noWrap/>
            <w:vAlign w:val="center"/>
            <w:hideMark/>
          </w:tcPr>
          <w:p w:rsidR="00DC59B2" w:rsidRPr="00127D36" w:rsidRDefault="00D93B33" w:rsidP="004E352F">
            <w:pPr>
              <w:spacing w:after="0" w:line="240" w:lineRule="auto"/>
              <w:jc w:val="center"/>
              <w:rPr>
                <w:rFonts w:ascii="Arial" w:eastAsia="Times New Roman" w:hAnsi="Arial" w:cs="Arial"/>
                <w:b/>
                <w:bCs/>
                <w:color w:val="000000"/>
                <w:sz w:val="18"/>
                <w:szCs w:val="18"/>
                <w:highlight w:val="yellow"/>
                <w:lang w:eastAsia="es-MX"/>
              </w:rPr>
            </w:pPr>
            <w:r w:rsidRPr="006E4730">
              <w:rPr>
                <w:rFonts w:ascii="Arial" w:eastAsia="Times New Roman" w:hAnsi="Arial" w:cs="Arial"/>
                <w:b/>
                <w:bCs/>
                <w:color w:val="000000"/>
                <w:sz w:val="18"/>
                <w:szCs w:val="18"/>
                <w:lang w:eastAsia="es-MX"/>
              </w:rPr>
              <w:t>68´792,283.25</w:t>
            </w:r>
          </w:p>
        </w:tc>
      </w:tr>
      <w:tr w:rsidR="00DC59B2" w:rsidRPr="00C75F0D" w:rsidTr="00815567">
        <w:trPr>
          <w:trHeight w:val="240"/>
        </w:trPr>
        <w:tc>
          <w:tcPr>
            <w:tcW w:w="704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999"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595" w:type="dxa"/>
            <w:tcBorders>
              <w:top w:val="nil"/>
              <w:left w:val="nil"/>
              <w:bottom w:val="nil"/>
              <w:right w:val="nil"/>
            </w:tcBorders>
            <w:shd w:val="clear" w:color="auto" w:fill="auto"/>
            <w:noWrap/>
            <w:vAlign w:val="bottom"/>
            <w:hideMark/>
          </w:tcPr>
          <w:p w:rsidR="00DC59B2" w:rsidRPr="00127D36" w:rsidRDefault="00DC59B2" w:rsidP="00815567">
            <w:pPr>
              <w:spacing w:after="0" w:line="240" w:lineRule="auto"/>
              <w:jc w:val="right"/>
              <w:rPr>
                <w:rFonts w:ascii="Times New Roman" w:eastAsia="Times New Roman" w:hAnsi="Times New Roman" w:cs="Times New Roman"/>
                <w:sz w:val="20"/>
                <w:szCs w:val="20"/>
                <w:highlight w:val="yellow"/>
                <w:lang w:eastAsia="es-MX"/>
              </w:rPr>
            </w:pPr>
          </w:p>
        </w:tc>
      </w:tr>
      <w:tr w:rsidR="00DC59B2" w:rsidRPr="00C75F0D" w:rsidTr="00815567">
        <w:trPr>
          <w:trHeight w:val="240"/>
        </w:trPr>
        <w:tc>
          <w:tcPr>
            <w:tcW w:w="7047" w:type="dxa"/>
            <w:gridSpan w:val="2"/>
            <w:tcBorders>
              <w:top w:val="nil"/>
              <w:left w:val="nil"/>
              <w:bottom w:val="single" w:sz="4" w:space="0" w:color="auto"/>
              <w:right w:val="nil"/>
            </w:tcBorders>
            <w:shd w:val="clear" w:color="auto" w:fill="auto"/>
            <w:noWrap/>
            <w:vAlign w:val="bottom"/>
          </w:tcPr>
          <w:p w:rsidR="00DC59B2" w:rsidRDefault="00DC59B2" w:rsidP="00815567">
            <w:pPr>
              <w:spacing w:after="0" w:line="240" w:lineRule="auto"/>
              <w:jc w:val="right"/>
              <w:rPr>
                <w:rFonts w:ascii="Arial" w:eastAsia="Times New Roman" w:hAnsi="Arial" w:cs="Arial"/>
                <w:b/>
                <w:bCs/>
                <w:color w:val="000000"/>
                <w:sz w:val="18"/>
                <w:szCs w:val="18"/>
                <w:lang w:eastAsia="es-MX"/>
              </w:rPr>
            </w:pPr>
          </w:p>
        </w:tc>
        <w:tc>
          <w:tcPr>
            <w:tcW w:w="999" w:type="dxa"/>
            <w:tcBorders>
              <w:top w:val="nil"/>
              <w:left w:val="nil"/>
              <w:bottom w:val="single" w:sz="4" w:space="0" w:color="auto"/>
              <w:right w:val="nil"/>
            </w:tcBorders>
            <w:shd w:val="clear" w:color="auto" w:fill="auto"/>
            <w:noWrap/>
            <w:vAlign w:val="bottom"/>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595" w:type="dxa"/>
            <w:tcBorders>
              <w:top w:val="nil"/>
              <w:left w:val="nil"/>
              <w:bottom w:val="nil"/>
              <w:right w:val="nil"/>
            </w:tcBorders>
            <w:shd w:val="clear" w:color="auto" w:fill="auto"/>
            <w:noWrap/>
            <w:vAlign w:val="bottom"/>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gridAfter w:val="1"/>
          <w:wAfter w:w="1595" w:type="dxa"/>
          <w:trHeight w:val="240"/>
        </w:trPr>
        <w:tc>
          <w:tcPr>
            <w:tcW w:w="553" w:type="dxa"/>
            <w:tcBorders>
              <w:top w:val="single" w:sz="4" w:space="0" w:color="auto"/>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single" w:sz="4" w:space="0" w:color="auto"/>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1000. SERVICIO PERSONALES</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C59B2" w:rsidRPr="00C75F0D" w:rsidRDefault="00D93B33"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63´406,457.57</w:t>
            </w:r>
          </w:p>
        </w:tc>
      </w:tr>
      <w:tr w:rsidR="00DC59B2" w:rsidRPr="00C75F0D" w:rsidTr="00815567">
        <w:trPr>
          <w:gridAfter w:val="1"/>
          <w:wAfter w:w="1595"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2000. MATERIALES Y SUMINISTROS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E352F">
              <w:rPr>
                <w:rFonts w:ascii="Arial" w:eastAsia="Times New Roman" w:hAnsi="Arial" w:cs="Arial"/>
                <w:color w:val="000000"/>
                <w:sz w:val="18"/>
                <w:szCs w:val="18"/>
                <w:lang w:eastAsia="es-MX"/>
              </w:rPr>
              <w:t>707,669.20</w:t>
            </w:r>
          </w:p>
        </w:tc>
      </w:tr>
      <w:tr w:rsidR="00DC59B2" w:rsidRPr="00C75F0D" w:rsidTr="00815567">
        <w:trPr>
          <w:gridAfter w:val="1"/>
          <w:wAfter w:w="1595"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3000. SERVICIOS GENERALES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93B33"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2’770,557.65</w:t>
            </w:r>
          </w:p>
        </w:tc>
      </w:tr>
      <w:tr w:rsidR="00DC59B2" w:rsidRPr="00C75F0D" w:rsidTr="00815567">
        <w:trPr>
          <w:gridAfter w:val="1"/>
          <w:wAfter w:w="1595"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4000.TRANSFERENCIA, ASIGNACIONES Y SUBSIDIOS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5,398.00</w:t>
            </w:r>
          </w:p>
        </w:tc>
      </w:tr>
      <w:tr w:rsidR="00DC59B2" w:rsidRPr="00C75F0D" w:rsidTr="00815567">
        <w:trPr>
          <w:gridAfter w:val="1"/>
          <w:wAfter w:w="1595"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5000. BIENES MUEBLES, INMUEBLES E INTANGIBLES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4E352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E352F">
              <w:rPr>
                <w:rFonts w:ascii="Arial" w:eastAsia="Times New Roman" w:hAnsi="Arial" w:cs="Arial"/>
                <w:color w:val="000000"/>
                <w:sz w:val="18"/>
                <w:szCs w:val="18"/>
                <w:lang w:eastAsia="es-MX"/>
              </w:rPr>
              <w:t>16,834.30</w:t>
            </w: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 MENOS EGRESOS PRESUPUESTARIOS NO CONTABLES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C59B2" w:rsidRPr="00C75F0D" w:rsidRDefault="004E352F"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16,834.30</w:t>
            </w:r>
            <w:r w:rsidR="00DC59B2" w:rsidRPr="00C75F0D">
              <w:rPr>
                <w:rFonts w:ascii="Arial" w:eastAsia="Times New Roman" w:hAnsi="Arial" w:cs="Arial"/>
                <w:color w:val="000000"/>
                <w:sz w:val="18"/>
                <w:szCs w:val="18"/>
                <w:lang w:eastAsia="es-MX"/>
              </w:rPr>
              <w:t>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C59B2" w:rsidRDefault="004E352F" w:rsidP="0081556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16,834.30</w:t>
            </w:r>
          </w:p>
          <w:p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rsidR="00DC59B2" w:rsidRPr="00C15619" w:rsidRDefault="00DC59B2" w:rsidP="00815567">
            <w:pPr>
              <w:spacing w:after="0" w:line="240" w:lineRule="auto"/>
              <w:ind w:firstLineChars="100" w:firstLine="160"/>
              <w:rPr>
                <w:rFonts w:ascii="Arial" w:eastAsia="Times New Roman" w:hAnsi="Arial" w:cs="Arial"/>
                <w:color w:val="000000"/>
                <w:sz w:val="16"/>
                <w:szCs w:val="16"/>
                <w:lang w:eastAsia="es-MX"/>
              </w:rPr>
            </w:pPr>
            <w:r w:rsidRPr="00C15619">
              <w:rPr>
                <w:rFonts w:ascii="Arial" w:eastAsia="Times New Roman" w:hAnsi="Arial" w:cs="Arial"/>
                <w:color w:val="000000"/>
                <w:sz w:val="16"/>
                <w:szCs w:val="16"/>
                <w:lang w:eastAsia="es-MX"/>
              </w:rPr>
              <w:t>2.1 MATERIAS PRIMAS Y MATERIALES DE PRODUCCIÓN Y COMERCIALIZACIÓN</w:t>
            </w:r>
          </w:p>
        </w:tc>
        <w:tc>
          <w:tcPr>
            <w:tcW w:w="999" w:type="dxa"/>
            <w:tcBorders>
              <w:top w:val="nil"/>
              <w:left w:val="nil"/>
              <w:bottom w:val="single" w:sz="4" w:space="0" w:color="auto"/>
              <w:right w:val="single" w:sz="4" w:space="0" w:color="auto"/>
            </w:tcBorders>
            <w:shd w:val="clear" w:color="auto" w:fill="auto"/>
            <w:noWrap/>
            <w:vAlign w:val="center"/>
          </w:tcPr>
          <w:p w:rsidR="00DC59B2" w:rsidRDefault="00DC59B2" w:rsidP="00815567">
            <w:pPr>
              <w:spacing w:after="0" w:line="240" w:lineRule="auto"/>
              <w:rPr>
                <w:rFonts w:ascii="Arial" w:eastAsia="Times New Roman" w:hAnsi="Arial" w:cs="Arial"/>
                <w:color w:val="000000"/>
                <w:sz w:val="18"/>
                <w:szCs w:val="18"/>
                <w:lang w:eastAsia="es-MX"/>
              </w:rPr>
            </w:pPr>
          </w:p>
        </w:tc>
        <w:tc>
          <w:tcPr>
            <w:tcW w:w="1595" w:type="dxa"/>
            <w:tcBorders>
              <w:top w:val="nil"/>
              <w:left w:val="nil"/>
              <w:bottom w:val="nil"/>
              <w:right w:val="nil"/>
            </w:tcBorders>
            <w:shd w:val="clear" w:color="auto" w:fill="auto"/>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15619" w:rsidRDefault="00DC59B2" w:rsidP="00815567">
            <w:pPr>
              <w:spacing w:after="0" w:line="240" w:lineRule="auto"/>
              <w:ind w:firstLineChars="100" w:firstLine="160"/>
              <w:rPr>
                <w:rFonts w:ascii="Arial" w:eastAsia="Times New Roman" w:hAnsi="Arial" w:cs="Arial"/>
                <w:color w:val="000000"/>
                <w:sz w:val="16"/>
                <w:szCs w:val="16"/>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 MATERIALES Y SUMINISTROS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.3 MOBILIARIO Y EQUIPO DE ADMINISTRACIÓN</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4E352F"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16,834.30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 MOBILIARIO Y EQUIPO EDUCACIONAL Y RECREATIVO</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rsidR="00DC59B2"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.5 EQUIPO E INSTRUMENTAL MÉDICO Y DE LABORATORIO</w:t>
            </w:r>
          </w:p>
        </w:tc>
        <w:tc>
          <w:tcPr>
            <w:tcW w:w="999" w:type="dxa"/>
            <w:tcBorders>
              <w:top w:val="nil"/>
              <w:left w:val="nil"/>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.6 VEHÍCULOS Y EQUIPO DE TRANSPORTE</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.7 EQUIPO DE DEFENSA Y SEGURIDAD</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.8 MAQUINARIA, OTROS EQUIPOS Y HERRAMIENTAS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.9 ACTIVOS BIOLÓGICOS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.10 BIENES INMUEBLES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.11 ACTIVOS INTANGIBLES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.12 OBRA PÚBLICA EN BIENES DE DOMINIO PÚBLICO</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.13 OBRA PÚBLICA EN BIENES PROPIOS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.14 ACCIONES Y PARTICIPACIONES DE CAPITAL</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.15 COMPRA DE TÍTULOS Y VALORES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.16 CONCESIÓN DE PRÉSTAMOS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.17 INVERSIONES EN FIDEICOMISOS, MANDATOS Y OTROS ANÁLOGOS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.18 PROVISIONES PARA CONTINGENCIAS Y OTRAS EROGACIONES ESPECIALES.</w:t>
            </w:r>
          </w:p>
        </w:tc>
        <w:tc>
          <w:tcPr>
            <w:tcW w:w="999" w:type="dxa"/>
            <w:tcBorders>
              <w:top w:val="nil"/>
              <w:left w:val="nil"/>
              <w:bottom w:val="single" w:sz="4" w:space="0" w:color="auto"/>
              <w:right w:val="single" w:sz="4" w:space="0" w:color="auto"/>
            </w:tcBorders>
            <w:shd w:val="clear" w:color="auto" w:fill="auto"/>
            <w:noWrap/>
            <w:vAlign w:val="center"/>
          </w:tcPr>
          <w:p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.19 AMORTIZACIÓN DE LA DEUDA PÚBLICA</w:t>
            </w:r>
          </w:p>
        </w:tc>
        <w:tc>
          <w:tcPr>
            <w:tcW w:w="999" w:type="dxa"/>
            <w:tcBorders>
              <w:top w:val="nil"/>
              <w:left w:val="nil"/>
              <w:bottom w:val="single" w:sz="4" w:space="0" w:color="auto"/>
              <w:right w:val="single" w:sz="4" w:space="0" w:color="auto"/>
            </w:tcBorders>
            <w:shd w:val="clear" w:color="auto" w:fill="auto"/>
            <w:noWrap/>
            <w:vAlign w:val="center"/>
          </w:tcPr>
          <w:p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.20 ADEUDOS DE EJERCICIOS FISCALES ANTERIORES (ADEFAS)</w:t>
            </w:r>
          </w:p>
        </w:tc>
        <w:tc>
          <w:tcPr>
            <w:tcW w:w="999" w:type="dxa"/>
            <w:tcBorders>
              <w:top w:val="nil"/>
              <w:left w:val="nil"/>
              <w:bottom w:val="single" w:sz="4" w:space="0" w:color="auto"/>
              <w:right w:val="single" w:sz="4" w:space="0" w:color="auto"/>
            </w:tcBorders>
            <w:shd w:val="clear" w:color="auto" w:fill="auto"/>
            <w:noWrap/>
            <w:vAlign w:val="center"/>
          </w:tcPr>
          <w:p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.21 OTROS EGRESOS PRESUPUESTARIOS NO CONTABLES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999"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595"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 MÁS GASTOS CONTABLES NO PRESUPUESTARIOS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DC59B2" w:rsidRPr="00C75F0D" w:rsidRDefault="004E352F" w:rsidP="0081556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1´118,105.15</w:t>
            </w: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color w:val="000000"/>
                <w:sz w:val="16"/>
                <w:szCs w:val="16"/>
                <w:lang w:eastAsia="es-MX"/>
              </w:rPr>
              <w:t>3.1 ESTIMACIONES, DEPRECIACIONES, DETERIOROS, OBSOLESCENCIA Y AMORTIZACIONES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4E352F"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1´118,105.15</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bottom"/>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r>
              <w:rPr>
                <w:rFonts w:ascii="Arial" w:eastAsia="Times New Roman" w:hAnsi="Arial" w:cs="Arial"/>
                <w:color w:val="000000"/>
                <w:sz w:val="16"/>
                <w:szCs w:val="16"/>
                <w:lang w:eastAsia="es-MX"/>
              </w:rPr>
              <w:t xml:space="preserve">   3.2 PROVISIONES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3.3 DISMINUCIÓN DE INVENTARIOS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48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3.4 AUMENTO POR INSUFICIENCIA DE ESTIMACIONES POR PÉRDIDA O DETERIORO U OBSOLESCENCIA</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3.1 AUMENTO POR INSUFICIENCIA DE PROVISIONES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553" w:type="dxa"/>
            <w:tcBorders>
              <w:top w:val="nil"/>
              <w:left w:val="single" w:sz="4" w:space="0" w:color="auto"/>
              <w:bottom w:val="single" w:sz="4" w:space="0" w:color="auto"/>
              <w:right w:val="nil"/>
            </w:tcBorders>
            <w:shd w:val="clear" w:color="auto" w:fill="auto"/>
            <w:noWrap/>
            <w:vAlign w:val="center"/>
            <w:hideMark/>
          </w:tcPr>
          <w:p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3.6 OTROS GASTOS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3.7 OTROS GASTOS CONTABLES NO PRESUPUESTARIOS</w:t>
            </w:r>
          </w:p>
        </w:tc>
        <w:tc>
          <w:tcPr>
            <w:tcW w:w="999" w:type="dxa"/>
            <w:tcBorders>
              <w:top w:val="nil"/>
              <w:left w:val="nil"/>
              <w:bottom w:val="single" w:sz="4" w:space="0" w:color="auto"/>
              <w:right w:val="single" w:sz="4" w:space="0" w:color="auto"/>
            </w:tcBorders>
            <w:shd w:val="clear" w:color="auto" w:fill="auto"/>
            <w:noWrap/>
            <w:vAlign w:val="center"/>
            <w:hideMark/>
          </w:tcPr>
          <w:p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5" w:type="dxa"/>
            <w:tcBorders>
              <w:top w:val="nil"/>
              <w:left w:val="nil"/>
              <w:bottom w:val="nil"/>
              <w:right w:val="nil"/>
            </w:tcBorders>
            <w:shd w:val="clear" w:color="auto" w:fill="auto"/>
            <w:vAlign w:val="center"/>
            <w:hideMark/>
          </w:tcPr>
          <w:p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rsidTr="00815567">
        <w:trPr>
          <w:trHeight w:val="240"/>
        </w:trPr>
        <w:tc>
          <w:tcPr>
            <w:tcW w:w="7047" w:type="dxa"/>
            <w:gridSpan w:val="2"/>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999"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595"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rsidTr="00815567">
        <w:trPr>
          <w:trHeight w:val="240"/>
        </w:trPr>
        <w:tc>
          <w:tcPr>
            <w:tcW w:w="704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lastRenderedPageBreak/>
              <w:t>4. TOTAL DE GASTOS CONTABLES</w:t>
            </w:r>
          </w:p>
        </w:tc>
        <w:tc>
          <w:tcPr>
            <w:tcW w:w="999" w:type="dxa"/>
            <w:tcBorders>
              <w:top w:val="nil"/>
              <w:left w:val="nil"/>
              <w:bottom w:val="nil"/>
              <w:right w:val="nil"/>
            </w:tcBorders>
            <w:shd w:val="clear" w:color="auto" w:fill="auto"/>
            <w:noWrap/>
            <w:vAlign w:val="bottom"/>
            <w:hideMark/>
          </w:tcPr>
          <w:p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5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59B2" w:rsidRPr="00C75F0D" w:rsidRDefault="004E352F" w:rsidP="0081556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69´893,554.10</w:t>
            </w:r>
          </w:p>
        </w:tc>
      </w:tr>
    </w:tbl>
    <w:p w:rsidR="00DC59B2" w:rsidRDefault="00DC59B2" w:rsidP="00DC59B2">
      <w:pPr>
        <w:jc w:val="both"/>
        <w:rPr>
          <w:b/>
          <w:sz w:val="24"/>
          <w:szCs w:val="24"/>
        </w:rPr>
      </w:pPr>
    </w:p>
    <w:p w:rsidR="00DC59B2" w:rsidRDefault="00DC59B2" w:rsidP="00DC59B2">
      <w:pPr>
        <w:jc w:val="both"/>
        <w:rPr>
          <w:b/>
          <w:sz w:val="24"/>
          <w:szCs w:val="24"/>
        </w:rPr>
      </w:pPr>
      <w:r>
        <w:rPr>
          <w:b/>
          <w:sz w:val="24"/>
          <w:szCs w:val="24"/>
        </w:rPr>
        <w:t>NOTAS DE MEMORIA</w:t>
      </w:r>
    </w:p>
    <w:p w:rsidR="00DC59B2" w:rsidRPr="000A41A2" w:rsidRDefault="00DC59B2" w:rsidP="00DC59B2">
      <w:pPr>
        <w:jc w:val="both"/>
        <w:rPr>
          <w:b/>
          <w:sz w:val="24"/>
          <w:szCs w:val="24"/>
        </w:rPr>
      </w:pPr>
    </w:p>
    <w:p w:rsidR="00DC59B2" w:rsidRPr="000A41A2" w:rsidRDefault="00DC59B2" w:rsidP="00DC59B2">
      <w:pPr>
        <w:ind w:left="708"/>
        <w:jc w:val="both"/>
        <w:rPr>
          <w:b/>
          <w:sz w:val="23"/>
          <w:szCs w:val="23"/>
        </w:rPr>
      </w:pPr>
      <w:r w:rsidRPr="000A41A2">
        <w:rPr>
          <w:b/>
          <w:sz w:val="23"/>
          <w:szCs w:val="23"/>
        </w:rPr>
        <w:t>CUENTAS DE ORDEN</w:t>
      </w:r>
    </w:p>
    <w:p w:rsidR="00DC59B2" w:rsidRPr="000A41A2" w:rsidRDefault="00DC59B2" w:rsidP="00DC59B2">
      <w:pPr>
        <w:ind w:left="708"/>
        <w:jc w:val="both"/>
        <w:rPr>
          <w:i/>
          <w:sz w:val="23"/>
          <w:szCs w:val="23"/>
        </w:rPr>
      </w:pPr>
      <w:r w:rsidRPr="000A41A2">
        <w:rPr>
          <w:i/>
          <w:sz w:val="23"/>
          <w:szCs w:val="23"/>
        </w:rPr>
        <w:t>CUENTAS DE ORDEN PRESUPUESTAL DE LOS INGRESOS</w:t>
      </w:r>
    </w:p>
    <w:p w:rsidR="00DC59B2" w:rsidRPr="000A41A2" w:rsidRDefault="00DC59B2" w:rsidP="00DC59B2">
      <w:pPr>
        <w:ind w:left="708"/>
        <w:jc w:val="both"/>
        <w:rPr>
          <w:sz w:val="23"/>
          <w:szCs w:val="23"/>
        </w:rPr>
      </w:pPr>
      <w:r w:rsidRPr="000A41A2">
        <w:rPr>
          <w:sz w:val="23"/>
          <w:szCs w:val="23"/>
        </w:rPr>
        <w:t xml:space="preserve">LEY DE INGRESOS ESTIMADA                                     </w:t>
      </w:r>
      <w:r>
        <w:rPr>
          <w:sz w:val="23"/>
          <w:szCs w:val="23"/>
        </w:rPr>
        <w:t xml:space="preserve">                                     $72´247,851.72</w:t>
      </w:r>
    </w:p>
    <w:p w:rsidR="00DC59B2" w:rsidRDefault="00DC59B2" w:rsidP="00DC59B2">
      <w:pPr>
        <w:ind w:left="708"/>
        <w:jc w:val="both"/>
        <w:rPr>
          <w:sz w:val="23"/>
          <w:szCs w:val="23"/>
        </w:rPr>
      </w:pPr>
      <w:r w:rsidRPr="000A41A2">
        <w:rPr>
          <w:sz w:val="23"/>
          <w:szCs w:val="23"/>
        </w:rPr>
        <w:t>LEY DE INGRESOS POR EJECUTA</w:t>
      </w:r>
      <w:r>
        <w:rPr>
          <w:sz w:val="23"/>
          <w:szCs w:val="23"/>
        </w:rPr>
        <w:t xml:space="preserve">R                                                    </w:t>
      </w:r>
      <w:r w:rsidR="0084675D">
        <w:rPr>
          <w:sz w:val="23"/>
          <w:szCs w:val="23"/>
        </w:rPr>
        <w:t xml:space="preserve">                               </w:t>
      </w:r>
      <w:r>
        <w:rPr>
          <w:sz w:val="23"/>
          <w:szCs w:val="23"/>
        </w:rPr>
        <w:t>$</w:t>
      </w:r>
      <w:r w:rsidR="008D19EF">
        <w:rPr>
          <w:sz w:val="23"/>
          <w:szCs w:val="23"/>
        </w:rPr>
        <w:t>0.00</w:t>
      </w:r>
    </w:p>
    <w:p w:rsidR="00DC59B2" w:rsidRPr="000A41A2" w:rsidRDefault="00DC59B2" w:rsidP="00DC59B2">
      <w:pPr>
        <w:ind w:left="708"/>
        <w:jc w:val="both"/>
        <w:rPr>
          <w:sz w:val="23"/>
          <w:szCs w:val="23"/>
        </w:rPr>
      </w:pPr>
      <w:r>
        <w:rPr>
          <w:sz w:val="23"/>
          <w:szCs w:val="23"/>
        </w:rPr>
        <w:t xml:space="preserve">MODIFICACIONES A LA LEY DE INGRESOS ESTIMADA                      </w:t>
      </w:r>
      <w:r w:rsidR="00F13F04">
        <w:rPr>
          <w:sz w:val="23"/>
          <w:szCs w:val="23"/>
        </w:rPr>
        <w:t xml:space="preserve">                           $0.28</w:t>
      </w:r>
    </w:p>
    <w:p w:rsidR="00DC59B2" w:rsidRPr="0084675D" w:rsidRDefault="00DC59B2" w:rsidP="00DC59B2">
      <w:pPr>
        <w:ind w:left="708"/>
        <w:jc w:val="both"/>
        <w:rPr>
          <w:sz w:val="23"/>
          <w:szCs w:val="23"/>
        </w:rPr>
      </w:pPr>
      <w:r w:rsidRPr="000A41A2">
        <w:rPr>
          <w:sz w:val="23"/>
          <w:szCs w:val="23"/>
        </w:rPr>
        <w:t xml:space="preserve">LEY DE INGRESOS </w:t>
      </w:r>
      <w:r w:rsidRPr="0084675D">
        <w:rPr>
          <w:sz w:val="23"/>
          <w:szCs w:val="23"/>
        </w:rPr>
        <w:t xml:space="preserve">DEVENGADA                                                                      </w:t>
      </w:r>
      <w:r w:rsidR="00615990">
        <w:rPr>
          <w:sz w:val="23"/>
          <w:szCs w:val="23"/>
        </w:rPr>
        <w:t>$72´247,852.00</w:t>
      </w:r>
    </w:p>
    <w:p w:rsidR="006128DC" w:rsidRPr="0084675D" w:rsidRDefault="00DC59B2" w:rsidP="00D138BB">
      <w:pPr>
        <w:ind w:left="708"/>
        <w:jc w:val="both"/>
        <w:rPr>
          <w:sz w:val="23"/>
          <w:szCs w:val="23"/>
        </w:rPr>
      </w:pPr>
      <w:r w:rsidRPr="0084675D">
        <w:rPr>
          <w:sz w:val="23"/>
          <w:szCs w:val="23"/>
        </w:rPr>
        <w:t>LEY DE INGRESOS RECAUDADA                                                                      $</w:t>
      </w:r>
      <w:r w:rsidR="000D6298" w:rsidRPr="0084675D">
        <w:rPr>
          <w:sz w:val="23"/>
          <w:szCs w:val="23"/>
        </w:rPr>
        <w:t>66</w:t>
      </w:r>
      <w:r w:rsidR="004B2726" w:rsidRPr="0084675D">
        <w:rPr>
          <w:sz w:val="23"/>
          <w:szCs w:val="23"/>
        </w:rPr>
        <w:t>’</w:t>
      </w:r>
      <w:r w:rsidR="000D6298" w:rsidRPr="0084675D">
        <w:rPr>
          <w:sz w:val="23"/>
          <w:szCs w:val="23"/>
        </w:rPr>
        <w:t>906,916</w:t>
      </w:r>
      <w:r w:rsidR="00352765" w:rsidRPr="0084675D">
        <w:rPr>
          <w:sz w:val="23"/>
          <w:szCs w:val="23"/>
        </w:rPr>
        <w:t>.00</w:t>
      </w:r>
    </w:p>
    <w:p w:rsidR="00DC59B2" w:rsidRPr="0084675D" w:rsidRDefault="00DC59B2" w:rsidP="00DC59B2">
      <w:pPr>
        <w:ind w:left="708"/>
        <w:jc w:val="both"/>
        <w:rPr>
          <w:i/>
          <w:sz w:val="23"/>
          <w:szCs w:val="23"/>
        </w:rPr>
      </w:pPr>
      <w:r w:rsidRPr="0084675D">
        <w:rPr>
          <w:i/>
          <w:sz w:val="23"/>
          <w:szCs w:val="23"/>
        </w:rPr>
        <w:t>CUENTAS DE ORDEN PRESUPUESTAL DE LOS EGRESOS</w:t>
      </w:r>
    </w:p>
    <w:p w:rsidR="00DC59B2" w:rsidRPr="0084675D" w:rsidRDefault="00DC59B2" w:rsidP="00DC59B2">
      <w:pPr>
        <w:ind w:left="708"/>
        <w:jc w:val="both"/>
        <w:rPr>
          <w:sz w:val="23"/>
          <w:szCs w:val="23"/>
        </w:rPr>
      </w:pPr>
      <w:r w:rsidRPr="0084675D">
        <w:rPr>
          <w:sz w:val="23"/>
          <w:szCs w:val="23"/>
        </w:rPr>
        <w:t xml:space="preserve">PRESUPUESTO DE EGRESOS APROBADO                                                    $72´247,851.72  </w:t>
      </w:r>
    </w:p>
    <w:p w:rsidR="00DC59B2" w:rsidRDefault="00DC59B2" w:rsidP="00DC59B2">
      <w:pPr>
        <w:ind w:left="708"/>
        <w:jc w:val="both"/>
        <w:rPr>
          <w:sz w:val="23"/>
          <w:szCs w:val="23"/>
        </w:rPr>
      </w:pPr>
      <w:r w:rsidRPr="0084675D">
        <w:rPr>
          <w:sz w:val="23"/>
          <w:szCs w:val="23"/>
        </w:rPr>
        <w:t xml:space="preserve">PRESUPUESTO DE EGRESOS POR EJERCER                                                 </w:t>
      </w:r>
      <w:r w:rsidR="00352765" w:rsidRPr="0084675D">
        <w:rPr>
          <w:sz w:val="23"/>
          <w:szCs w:val="23"/>
        </w:rPr>
        <w:t xml:space="preserve">$ </w:t>
      </w:r>
      <w:r w:rsidR="0084675D" w:rsidRPr="0084675D">
        <w:rPr>
          <w:sz w:val="23"/>
          <w:szCs w:val="23"/>
        </w:rPr>
        <w:t xml:space="preserve">  3</w:t>
      </w:r>
      <w:r w:rsidR="000D6298" w:rsidRPr="0084675D">
        <w:rPr>
          <w:sz w:val="23"/>
          <w:szCs w:val="23"/>
        </w:rPr>
        <w:t>´</w:t>
      </w:r>
      <w:r w:rsidR="00615990">
        <w:rPr>
          <w:sz w:val="23"/>
          <w:szCs w:val="23"/>
        </w:rPr>
        <w:t>597,516.92</w:t>
      </w:r>
    </w:p>
    <w:p w:rsidR="00DC59B2" w:rsidRPr="000A41A2" w:rsidRDefault="00DC59B2" w:rsidP="00DC59B2">
      <w:pPr>
        <w:ind w:left="708"/>
        <w:jc w:val="both"/>
        <w:rPr>
          <w:sz w:val="23"/>
          <w:szCs w:val="23"/>
        </w:rPr>
      </w:pPr>
      <w:r>
        <w:rPr>
          <w:sz w:val="23"/>
          <w:szCs w:val="23"/>
        </w:rPr>
        <w:t xml:space="preserve">MODIFICACIONES AL PRESUPUESTO DE EGRESOS APROBADO    </w:t>
      </w:r>
      <w:r w:rsidR="00F13F04">
        <w:rPr>
          <w:sz w:val="23"/>
          <w:szCs w:val="23"/>
        </w:rPr>
        <w:t xml:space="preserve">                           $0.28</w:t>
      </w:r>
    </w:p>
    <w:p w:rsidR="00DC59B2" w:rsidRPr="000A41A2" w:rsidRDefault="00DC59B2" w:rsidP="00DC59B2">
      <w:pPr>
        <w:ind w:left="708"/>
        <w:jc w:val="both"/>
        <w:rPr>
          <w:sz w:val="23"/>
          <w:szCs w:val="23"/>
        </w:rPr>
      </w:pPr>
      <w:r w:rsidRPr="000A41A2">
        <w:rPr>
          <w:sz w:val="23"/>
          <w:szCs w:val="23"/>
        </w:rPr>
        <w:t>PRESUPUESTO DE E</w:t>
      </w:r>
      <w:r>
        <w:rPr>
          <w:sz w:val="23"/>
          <w:szCs w:val="23"/>
        </w:rPr>
        <w:t xml:space="preserve">GRESOS COMPROMETIDO                                          </w:t>
      </w:r>
      <w:r w:rsidR="00615990">
        <w:rPr>
          <w:sz w:val="23"/>
          <w:szCs w:val="23"/>
        </w:rPr>
        <w:t>$68´650,335.08</w:t>
      </w:r>
    </w:p>
    <w:p w:rsidR="00DC59B2" w:rsidRPr="000A41A2" w:rsidRDefault="00DC59B2" w:rsidP="00DC59B2">
      <w:pPr>
        <w:ind w:left="708"/>
        <w:jc w:val="both"/>
        <w:rPr>
          <w:sz w:val="23"/>
          <w:szCs w:val="23"/>
        </w:rPr>
      </w:pPr>
      <w:r w:rsidRPr="000A41A2">
        <w:rPr>
          <w:sz w:val="23"/>
          <w:szCs w:val="23"/>
        </w:rPr>
        <w:t xml:space="preserve">PRESUPUESTO DE EGRESOS DEVENGADO           </w:t>
      </w:r>
      <w:r>
        <w:rPr>
          <w:sz w:val="23"/>
          <w:szCs w:val="23"/>
        </w:rPr>
        <w:t xml:space="preserve">                                       $</w:t>
      </w:r>
      <w:r w:rsidR="00615990">
        <w:rPr>
          <w:sz w:val="23"/>
          <w:szCs w:val="23"/>
        </w:rPr>
        <w:t>68´650,335.08</w:t>
      </w:r>
    </w:p>
    <w:p w:rsidR="00DC59B2" w:rsidRPr="000A41A2" w:rsidRDefault="00DC59B2" w:rsidP="00DC59B2">
      <w:pPr>
        <w:ind w:left="708"/>
        <w:jc w:val="both"/>
        <w:rPr>
          <w:sz w:val="23"/>
          <w:szCs w:val="23"/>
        </w:rPr>
      </w:pPr>
      <w:r w:rsidRPr="000A41A2">
        <w:rPr>
          <w:sz w:val="23"/>
          <w:szCs w:val="23"/>
        </w:rPr>
        <w:t xml:space="preserve">PRESUPUESTO DE EGRESOS EJERCIDO                 </w:t>
      </w:r>
      <w:r>
        <w:rPr>
          <w:sz w:val="23"/>
          <w:szCs w:val="23"/>
        </w:rPr>
        <w:t xml:space="preserve">                                       $</w:t>
      </w:r>
      <w:r w:rsidR="00615990">
        <w:rPr>
          <w:sz w:val="23"/>
          <w:szCs w:val="23"/>
        </w:rPr>
        <w:t>66´906,916.00</w:t>
      </w:r>
    </w:p>
    <w:p w:rsidR="00DC59B2" w:rsidRDefault="00DC59B2" w:rsidP="00DC59B2">
      <w:pPr>
        <w:ind w:left="708"/>
        <w:jc w:val="both"/>
        <w:rPr>
          <w:sz w:val="23"/>
          <w:szCs w:val="23"/>
        </w:rPr>
      </w:pPr>
      <w:r w:rsidRPr="000A41A2">
        <w:rPr>
          <w:sz w:val="23"/>
          <w:szCs w:val="23"/>
        </w:rPr>
        <w:t xml:space="preserve">PRESUPUESTO DE EGRESOS PAGADO                  </w:t>
      </w:r>
      <w:r>
        <w:rPr>
          <w:sz w:val="23"/>
          <w:szCs w:val="23"/>
        </w:rPr>
        <w:t xml:space="preserve">                                       $</w:t>
      </w:r>
      <w:r w:rsidR="00615990">
        <w:rPr>
          <w:sz w:val="23"/>
          <w:szCs w:val="23"/>
        </w:rPr>
        <w:t>66´906,916.00</w:t>
      </w:r>
    </w:p>
    <w:p w:rsidR="00DC59B2" w:rsidRPr="006E4730" w:rsidRDefault="006E4730" w:rsidP="00DC59B2">
      <w:pPr>
        <w:jc w:val="both"/>
        <w:rPr>
          <w:rFonts w:eastAsia="Times New Roman" w:cs="Arial"/>
          <w:b/>
          <w:i/>
          <w:color w:val="000000"/>
          <w:sz w:val="24"/>
          <w:szCs w:val="24"/>
          <w:u w:val="single"/>
          <w:lang w:eastAsia="es-MX"/>
        </w:rPr>
      </w:pPr>
      <w:r w:rsidRPr="006E4730">
        <w:rPr>
          <w:rFonts w:eastAsia="Times New Roman" w:cs="Arial"/>
          <w:color w:val="000000"/>
          <w:sz w:val="24"/>
          <w:szCs w:val="24"/>
          <w:lang w:eastAsia="es-MX"/>
        </w:rPr>
        <w:t>Se llevó acabo</w:t>
      </w:r>
      <w:r w:rsidR="00DD2CD2" w:rsidRPr="006E4730">
        <w:rPr>
          <w:rFonts w:eastAsia="Times New Roman" w:cs="Arial"/>
          <w:color w:val="000000"/>
          <w:sz w:val="24"/>
          <w:szCs w:val="24"/>
          <w:lang w:eastAsia="es-MX"/>
        </w:rPr>
        <w:t xml:space="preserve"> </w:t>
      </w:r>
      <w:r>
        <w:rPr>
          <w:rFonts w:eastAsia="Times New Roman" w:cs="Arial"/>
          <w:color w:val="000000"/>
          <w:sz w:val="24"/>
          <w:szCs w:val="24"/>
          <w:lang w:eastAsia="es-MX"/>
        </w:rPr>
        <w:t xml:space="preserve">el </w:t>
      </w:r>
      <w:r w:rsidR="00DD2CD2" w:rsidRPr="006E4730">
        <w:rPr>
          <w:rFonts w:eastAsia="Times New Roman" w:cs="Arial"/>
          <w:color w:val="000000"/>
          <w:sz w:val="24"/>
          <w:szCs w:val="24"/>
          <w:lang w:eastAsia="es-MX"/>
        </w:rPr>
        <w:t>Acuerdo</w:t>
      </w:r>
      <w:r w:rsidRPr="006E4730">
        <w:rPr>
          <w:rFonts w:eastAsia="Times New Roman" w:cs="Arial"/>
          <w:color w:val="000000"/>
          <w:sz w:val="24"/>
          <w:szCs w:val="24"/>
          <w:lang w:eastAsia="es-MX"/>
        </w:rPr>
        <w:t xml:space="preserve"> Administrativo con fecha 23 de Diciembre 2020 “</w:t>
      </w:r>
      <w:r w:rsidRPr="006E4730">
        <w:rPr>
          <w:rFonts w:eastAsia="Times New Roman" w:cs="Arial"/>
          <w:i/>
          <w:color w:val="000000"/>
          <w:sz w:val="24"/>
          <w:szCs w:val="24"/>
          <w:u w:val="single"/>
          <w:lang w:eastAsia="es-MX"/>
        </w:rPr>
        <w:t>ACUERDO ADMINISTRATIVO POR EL CUAL SE AUTORIZA TRANSFERENCIA DE RECURSOS FINANCIEROS ENTRE PARTIDAS PRESUPUESTALES, CORRESPONDIENTE AL PRESUPUESTO DE EGRESOS PARA EL EJERCICIO FISCAL DOS MIL VEINTE</w:t>
      </w:r>
      <w:r w:rsidRPr="006E4730">
        <w:rPr>
          <w:rFonts w:eastAsia="Times New Roman" w:cs="Arial"/>
          <w:b/>
          <w:i/>
          <w:color w:val="000000"/>
          <w:sz w:val="24"/>
          <w:szCs w:val="24"/>
          <w:u w:val="single"/>
          <w:lang w:eastAsia="es-MX"/>
        </w:rPr>
        <w:t>”</w:t>
      </w:r>
    </w:p>
    <w:p w:rsidR="00DC59B2" w:rsidRPr="00C75F0D" w:rsidRDefault="00DC59B2" w:rsidP="00DC59B2">
      <w:pPr>
        <w:rPr>
          <w:b/>
          <w:sz w:val="24"/>
          <w:szCs w:val="24"/>
        </w:rPr>
      </w:pPr>
      <w:r w:rsidRPr="00C75F0D">
        <w:rPr>
          <w:b/>
          <w:sz w:val="24"/>
          <w:szCs w:val="24"/>
        </w:rPr>
        <w:t>NOTAS DE GESTIÓN ADMINISTRATIVA</w:t>
      </w:r>
    </w:p>
    <w:p w:rsidR="00DC59B2" w:rsidRPr="00C75F0D" w:rsidRDefault="00DC59B2" w:rsidP="00DC59B2">
      <w:pPr>
        <w:rPr>
          <w:b/>
          <w:sz w:val="24"/>
          <w:szCs w:val="24"/>
        </w:rPr>
      </w:pPr>
    </w:p>
    <w:p w:rsidR="00DC59B2" w:rsidRPr="00C75F0D" w:rsidRDefault="00DC59B2" w:rsidP="00DC59B2">
      <w:pPr>
        <w:rPr>
          <w:b/>
          <w:sz w:val="24"/>
          <w:szCs w:val="24"/>
        </w:rPr>
      </w:pPr>
      <w:r w:rsidRPr="00C75F0D">
        <w:rPr>
          <w:b/>
          <w:sz w:val="24"/>
          <w:szCs w:val="24"/>
        </w:rPr>
        <w:t>Introducción</w:t>
      </w:r>
    </w:p>
    <w:p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xml:space="preserve">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w:t>
      </w:r>
      <w:r w:rsidRPr="00C75F0D">
        <w:rPr>
          <w:rFonts w:eastAsia="Times New Roman" w:cs="Arial"/>
          <w:color w:val="000000"/>
          <w:sz w:val="24"/>
          <w:szCs w:val="24"/>
          <w:lang w:eastAsia="es-MX"/>
        </w:rPr>
        <w:lastRenderedPageBreak/>
        <w:t>constituido una autoridad jurisdiccional electoral, permanente, autónoma e independiente para la resolución de las controversias en la materia.</w:t>
      </w:r>
    </w:p>
    <w:p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rsidR="00DC59B2" w:rsidRPr="000A41A2"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rsidR="007F3612" w:rsidRDefault="007F3612" w:rsidP="00DC59B2">
      <w:pPr>
        <w:rPr>
          <w:b/>
          <w:sz w:val="24"/>
          <w:szCs w:val="24"/>
        </w:rPr>
      </w:pPr>
    </w:p>
    <w:p w:rsidR="00DC59B2" w:rsidRDefault="00DC59B2" w:rsidP="00DC59B2">
      <w:pPr>
        <w:rPr>
          <w:b/>
          <w:sz w:val="24"/>
          <w:szCs w:val="24"/>
        </w:rPr>
      </w:pPr>
      <w:r>
        <w:rPr>
          <w:b/>
          <w:sz w:val="24"/>
          <w:szCs w:val="24"/>
        </w:rPr>
        <w:t>Panorama económico y financiero:</w:t>
      </w: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rPr>
        <w:t>El Tribunal Electoral del Estado opera únicamente con los recursos estatales provenientes de los subsidios quincenales que recibe a través de la Secretaría de Finanzas y Administración del Estado.</w:t>
      </w:r>
    </w:p>
    <w:p w:rsidR="00DC59B2" w:rsidRDefault="00DC59B2" w:rsidP="00DC59B2">
      <w:pPr>
        <w:rPr>
          <w:b/>
          <w:sz w:val="24"/>
          <w:szCs w:val="24"/>
        </w:rPr>
      </w:pPr>
    </w:p>
    <w:p w:rsidR="00DC59B2" w:rsidRDefault="00DC59B2" w:rsidP="00DC59B2">
      <w:pPr>
        <w:rPr>
          <w:b/>
          <w:sz w:val="24"/>
          <w:szCs w:val="24"/>
        </w:rPr>
      </w:pPr>
      <w:r>
        <w:rPr>
          <w:b/>
          <w:sz w:val="24"/>
          <w:szCs w:val="24"/>
        </w:rPr>
        <w:t>Autorización e Historia:</w:t>
      </w:r>
    </w:p>
    <w:p w:rsidR="00DC59B2" w:rsidRDefault="00DC59B2" w:rsidP="00DC59B2">
      <w:pPr>
        <w:ind w:firstLine="708"/>
        <w:jc w:val="both"/>
        <w:rPr>
          <w:rFonts w:cs="Arial"/>
          <w:color w:val="000000"/>
          <w:sz w:val="24"/>
          <w:szCs w:val="24"/>
        </w:rPr>
      </w:pPr>
      <w:r>
        <w:rPr>
          <w:sz w:val="24"/>
          <w:szCs w:val="24"/>
        </w:rPr>
        <w:t xml:space="preserve">En sesión ordinaria del 13 de febrero de 1992, la Sexagésima Quinta Legislatura Constitucional del Honorable Congreso del Estado, aprobó la propuesta de la Gran Comisión del Congreso del Estado, para integrar el Tribunal Electoral, y por unanimidad de votos </w:t>
      </w:r>
      <w:r w:rsidRPr="00B66969">
        <w:rPr>
          <w:rFonts w:cs="Arial"/>
          <w:color w:val="000000"/>
          <w:sz w:val="24"/>
          <w:szCs w:val="24"/>
        </w:rPr>
        <w:t xml:space="preserve">se designaron Magistrados Numerarios a los Licenciados Hilda Navarro </w:t>
      </w:r>
      <w:proofErr w:type="spellStart"/>
      <w:r w:rsidRPr="00B66969">
        <w:rPr>
          <w:rFonts w:cs="Arial"/>
          <w:color w:val="000000"/>
          <w:sz w:val="24"/>
          <w:szCs w:val="24"/>
        </w:rPr>
        <w:t>Skinfield</w:t>
      </w:r>
      <w:proofErr w:type="spellEnd"/>
      <w:r w:rsidRPr="00B66969">
        <w:rPr>
          <w:rFonts w:cs="Arial"/>
          <w:color w:val="000000"/>
          <w:sz w:val="24"/>
          <w:szCs w:val="24"/>
        </w:rPr>
        <w:t>, Gregorio Sánchez León y  Raúl Vallejo Meza; mientras que a los Licenciados Mauro Hernández Pacheco, Luís Alonso Rodríguez Nieto y José Liborio Pérez Rangel se les designó Magistrados Supernumerarios.</w:t>
      </w:r>
      <w:r>
        <w:rPr>
          <w:rFonts w:cs="Arial"/>
          <w:color w:val="000000"/>
          <w:sz w:val="24"/>
          <w:szCs w:val="24"/>
        </w:rPr>
        <w:t xml:space="preserve"> </w:t>
      </w:r>
      <w:r w:rsidRPr="00B66969">
        <w:rPr>
          <w:rFonts w:cs="Arial"/>
          <w:color w:val="000000"/>
          <w:sz w:val="24"/>
          <w:szCs w:val="24"/>
        </w:rPr>
        <w:t xml:space="preserve">Así, en cumplimiento al artículo segundo transitorio del Decreto 138, el día 14 de febrero de  1992 se celebró la primer sesión de Pleno del Tribunal Electoral, en la que los Magistrados Numerarios, por mayoría de votos, designaron como su presidente a la Licenciada Hilda Navarro </w:t>
      </w:r>
      <w:proofErr w:type="spellStart"/>
      <w:r w:rsidRPr="00B66969">
        <w:rPr>
          <w:rFonts w:cs="Arial"/>
          <w:color w:val="000000"/>
          <w:sz w:val="24"/>
          <w:szCs w:val="24"/>
        </w:rPr>
        <w:t>Skinfield</w:t>
      </w:r>
      <w:proofErr w:type="spellEnd"/>
      <w:r w:rsidRPr="00B66969">
        <w:rPr>
          <w:rFonts w:cs="Arial"/>
          <w:color w:val="000000"/>
          <w:sz w:val="24"/>
          <w:szCs w:val="24"/>
        </w:rPr>
        <w:t>, quien en el mismo acto aceptó y protestó el desempeño fiel de tal encargo, y se acordó además por decisión unánime de los Magistrados Numerarios llevar a cabo en esa misma fecha la ceremonia oficial de instalación del Tribunal, con la presencia de los Magistrados Numerarios y Supernumerarios, en el que fuera su primer domicilio oficial, ubicado en la calle de Rayón número 372, del Centro de esta Ciudad de Morelia, Michoacán.</w:t>
      </w:r>
    </w:p>
    <w:p w:rsidR="00DC59B2" w:rsidRDefault="00DC59B2" w:rsidP="00DC59B2">
      <w:pPr>
        <w:jc w:val="both"/>
        <w:rPr>
          <w:rFonts w:cs="Arial"/>
          <w:color w:val="000000"/>
          <w:sz w:val="24"/>
          <w:szCs w:val="24"/>
        </w:rPr>
      </w:pPr>
      <w:r w:rsidRPr="00B66969">
        <w:rPr>
          <w:rFonts w:cs="Arial"/>
          <w:color w:val="000000"/>
          <w:sz w:val="24"/>
          <w:szCs w:val="24"/>
        </w:rPr>
        <w:t>Por otro lado, encontrándose en funciones el órgano jurisdiccional electoral, en ejercicio de sus atribuciones legales, con fecha 1° de abril de 1992, se expidió el Reglamento Interior del Tribunal Electoral del Estado, estableciendo las primeras disposiciones que lo rigieron internamente en torno a su organización y funcionamiento.</w:t>
      </w:r>
    </w:p>
    <w:p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lastRenderedPageBreak/>
        <w:t>El 3 de Mayo de 1995, se promulgó el Código Electoral del Estado de Michoacán, que fue publicado al día siguiente en el Periódico Oficial del Estado; ordenamiento legal que abrogó la Ley Electoral del 10 de enero de 1983, en el que se estableció la normatividad para conformar de manera diversa el Tribunal Electoral, así como sus atribuciones y temporalidad; y de igual forma, se llevaron a cabo modificaciones importantes al sistema de medios de impugnación.</w:t>
      </w:r>
      <w:r>
        <w:rPr>
          <w:rFonts w:asciiTheme="minorHAnsi" w:hAnsiTheme="minorHAnsi" w:cs="Arial"/>
          <w:color w:val="000000"/>
        </w:rPr>
        <w:t xml:space="preserve"> </w:t>
      </w:r>
      <w:r w:rsidRPr="003069D5">
        <w:rPr>
          <w:rFonts w:asciiTheme="minorHAnsi" w:hAnsiTheme="minorHAnsi" w:cs="Arial"/>
          <w:color w:val="000000"/>
        </w:rPr>
        <w:t>De esa manera se confirió al Tribunal Electoral el carácter de órgano autónomo y máxima autoridad jurisdiccional en materia electoral; que debería integrarse con cuatro Magistrados Numerarios y dos Supernumerarios, y a diferencia del procedimiento seguido para la conformación del que le precedió, se previó que en la designación de sus miembros, tendrían intervención los tres poderes del Estado; es decir, la designación la llevarían a cabo las dos terceras partes de los Diputados presentes del Congreso del Estado, tres de ellos a propuesta del Ejecutivo Estatal y tres a propuesta del Poder Judicial del Estado. En cuanto a los principios rectores de la  función jurisdiccional electoral, se estableció que dicho órgano debería regirse por los principios de certeza, legalidad, independencia, imparcialidad, objetividad, equidad y profesionalismo; además de que debería instalarse 180 días antes de la elección (artículo 201).</w:t>
      </w:r>
    </w:p>
    <w:p w:rsidR="00DC59B2" w:rsidRPr="003069D5" w:rsidRDefault="00DC59B2" w:rsidP="00DC59B2">
      <w:pPr>
        <w:pStyle w:val="NormalWeb"/>
        <w:spacing w:before="0" w:beforeAutospacing="0" w:after="0" w:afterAutospacing="0"/>
        <w:jc w:val="both"/>
        <w:rPr>
          <w:rFonts w:asciiTheme="minorHAnsi" w:hAnsiTheme="minorHAnsi" w:cs="Arial"/>
          <w:color w:val="000000"/>
        </w:rPr>
      </w:pPr>
    </w:p>
    <w:p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Respecto a la temporalidad, a diferencia del señalamiento en el ordenamiento vigente con anterioridad, se estableció que los Magistrados se designarían para ejercer sus funciones por el término de cuatro años, pudiendo ser ratificados (artículo 204).</w:t>
      </w:r>
    </w:p>
    <w:p w:rsidR="00DC59B2" w:rsidRPr="003069D5" w:rsidRDefault="00DC59B2" w:rsidP="00DC59B2">
      <w:pPr>
        <w:pStyle w:val="NormalWeb"/>
        <w:spacing w:before="0" w:beforeAutospacing="0" w:after="0" w:afterAutospacing="0"/>
        <w:jc w:val="both"/>
        <w:rPr>
          <w:rFonts w:asciiTheme="minorHAnsi" w:hAnsiTheme="minorHAnsi" w:cs="Arial"/>
          <w:color w:val="000000"/>
        </w:rPr>
      </w:pPr>
    </w:p>
    <w:p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En torno a las actividades jurisdiccionales, se determinó que en el tiempo transcurrido entre procesos electorales, únicamente funcionaría una Sala Unitaria que estaría a cargo del Presidente del Tribunal (artículo 215).</w:t>
      </w:r>
      <w:r>
        <w:rPr>
          <w:rFonts w:asciiTheme="minorHAnsi" w:hAnsiTheme="minorHAnsi" w:cs="Arial"/>
          <w:color w:val="000000"/>
        </w:rPr>
        <w:t xml:space="preserve"> </w:t>
      </w:r>
      <w:r w:rsidRPr="003069D5">
        <w:rPr>
          <w:rFonts w:asciiTheme="minorHAnsi" w:hAnsiTheme="minorHAnsi" w:cs="Arial"/>
          <w:color w:val="000000"/>
        </w:rPr>
        <w:t xml:space="preserve">Por otro lado, el sistema </w:t>
      </w:r>
      <w:proofErr w:type="spellStart"/>
      <w:r w:rsidRPr="003069D5">
        <w:rPr>
          <w:rFonts w:asciiTheme="minorHAnsi" w:hAnsiTheme="minorHAnsi" w:cs="Arial"/>
          <w:color w:val="000000"/>
        </w:rPr>
        <w:t>recursal</w:t>
      </w:r>
      <w:proofErr w:type="spellEnd"/>
      <w:r w:rsidRPr="003069D5">
        <w:rPr>
          <w:rFonts w:asciiTheme="minorHAnsi" w:hAnsiTheme="minorHAnsi" w:cs="Arial"/>
          <w:color w:val="000000"/>
        </w:rPr>
        <w:t xml:space="preserve"> se amplió para contemplar el recurso de revisión cuya competencia sería del Instituto Electoral de Michoacán, en tanto que el conocimiento y resolución de los recursos de apelación, inconformidad y reconsideración, corresponderían al Tribunal Electoral (artículo 216).       </w:t>
      </w:r>
    </w:p>
    <w:p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 xml:space="preserve">Derivado del anterior marco normativo, la Cámara de Diputados, procedió a nombrar a los miembros que habrían de integrar el nuevo Tribunal Electoral de Michoacán, observando el procedimiento establecido en la Ley; y así, en sesión celebrada el día 29 de Mayo de 1995, por mayoría de votos se nombraron como Magistrados Numerarios  a los ciudadanos licenciados Adolfo Mejía González, Pedro Carlos Arroyo Carrillo, Armando Chávez Román y Eva Sandoval Carranza y como Supernumerarios a los licenciados Lydia Hortensia </w:t>
      </w:r>
      <w:proofErr w:type="spellStart"/>
      <w:r w:rsidRPr="003069D5">
        <w:rPr>
          <w:rFonts w:asciiTheme="minorHAnsi" w:hAnsiTheme="minorHAnsi" w:cs="Arial"/>
          <w:color w:val="000000"/>
        </w:rPr>
        <w:t>Barriguete</w:t>
      </w:r>
      <w:proofErr w:type="spellEnd"/>
      <w:r w:rsidRPr="003069D5">
        <w:rPr>
          <w:rFonts w:asciiTheme="minorHAnsi" w:hAnsiTheme="minorHAnsi" w:cs="Arial"/>
          <w:color w:val="000000"/>
        </w:rPr>
        <w:t xml:space="preserve"> Parra y Apolinar Rodríguez Aguilar, quienes en la misma sesión rindieron la protesta de ley.</w:t>
      </w:r>
    </w:p>
    <w:p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En sesión celebrada el día 30 de mayo de 1995, en el domicilio del Tribunal Electoral ubicado en la calle Ortega y Montañez número 71 en la capital del Estado, los Magistrados Numerarios en Pleno designaron por unanimidad de votos a su presidente, recayendo dicho nombramiento en el Magistrado Adolfo Mejía González y, en la misma fecha, se procedió a declarar legalmente instalado el Tribunal Electoral, señalando el inicio de sus funciones a partir de entonces.</w:t>
      </w:r>
      <w:r w:rsidRPr="00186C82">
        <w:rPr>
          <w:rFonts w:ascii="Arial" w:hAnsi="Arial" w:cs="Arial"/>
          <w:color w:val="000000"/>
        </w:rPr>
        <w:t xml:space="preserve"> </w:t>
      </w:r>
      <w:r w:rsidRPr="00186C82">
        <w:rPr>
          <w:rFonts w:asciiTheme="minorHAnsi" w:hAnsiTheme="minorHAnsi" w:cs="Arial"/>
          <w:color w:val="000000"/>
        </w:rPr>
        <w:t>Con fecha 22 de Septiembre de 1995, el Tribunal Electoral del Estado de Michoacán, inauguró el edificio que sería hasta la fecha su nueva sede, ubicada en la calle Coronel Amado Camacho número 294 de la Colonia Chapultepec Oriente de esta ciudad capital.</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186C82">
        <w:rPr>
          <w:rFonts w:asciiTheme="minorHAnsi" w:hAnsiTheme="minorHAnsi" w:cs="Arial"/>
          <w:color w:val="000000"/>
        </w:rPr>
        <w:lastRenderedPageBreak/>
        <w:t xml:space="preserve">En el año 2000, los ordenamientos electorales de nuestro Estado sufrieron importantes cambios, el primero de ellos deriva del Decreto 90, expedido el día 7 de noviembre del año 2000 y publicado al día siguiente en el Periódico Oficial del Estado, mismo que reformó y adicionó algunos artículos de la Constitución Política del Estado de Michoacán, entre los que destaca el 13 que en lo concerniente al Tribunal Electoral, señala el imperativo de establecer un sistema de medios de impugnación de los que deberían conocer exclusivamente el Instituto Electoral de Michoacán y el Tribunal Electoral, con la finalidad de que dicho sistema dotara de </w:t>
      </w:r>
      <w:proofErr w:type="spellStart"/>
      <w:r w:rsidRPr="00186C82">
        <w:rPr>
          <w:rFonts w:asciiTheme="minorHAnsi" w:hAnsiTheme="minorHAnsi" w:cs="Arial"/>
          <w:color w:val="000000"/>
        </w:rPr>
        <w:t>definitividad</w:t>
      </w:r>
      <w:proofErr w:type="spellEnd"/>
      <w:r w:rsidRPr="00186C82">
        <w:rPr>
          <w:rFonts w:asciiTheme="minorHAnsi" w:hAnsiTheme="minorHAnsi" w:cs="Arial"/>
          <w:color w:val="000000"/>
        </w:rPr>
        <w:t xml:space="preserve"> a las distintas etapas de los procesos electorales y garantizara que los actos y resoluciones electorales se sujetaran invariablemente al principio de legalidad; por ende, atribuyó al Tribunal Electoral el carácter de órgano autónomo y máxima autoridad jurisdiccional, con competencia para resolver en forma definitiva las impugnaciones que se presentaran conforme a la Ley Estatal del Sistema de Medios de Impugnación en Materia Electoral; que debería funcionar en Salas Unitarias, Colegiadas y en Pleno; por lo que, para cada proceso electoral se integrarían dos Salas de Segunda Instancia conformadas cada una de ellas por tres Magistrados; destacando de su contenido que por primera ocasión, se estableció la competencia exclusiva del Tribunal Electoral para resolver en única instancia las impugnaciones presentadas respecto a la elección de Gobernador, además de facultarlo para declarar la legalidad y validez de tal elección, con lo que desapareció de manera definitiva el Colegio Electoral; por otra parte, en cuanto al procedimiento para la integración del Tribunal, se excluyó la facultad del titular del Ejecutivo para hacer propuestas para la designación de Magistrados, reservando tal atribución exclusivamente a los poderes Legislativo y Judicial.</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El día 28 de junio del año 2001,  mediante Sesión de Pleno celebrada por la Sexagésima Octava Legislatura del Honorable Congreso del Estado, se llevó a cabo la designación de los nuevos miembros del Tribunal Electoral, y de entre los 47 aspirantes registrados ante el Supremo Tribunal de Justicia del Estado, fueron electos como Magistrados Numerarios, los licenciados María de los Ángeles </w:t>
      </w:r>
      <w:proofErr w:type="spellStart"/>
      <w:r w:rsidRPr="006E611F">
        <w:rPr>
          <w:rFonts w:asciiTheme="minorHAnsi" w:hAnsiTheme="minorHAnsi" w:cs="Arial"/>
          <w:color w:val="000000"/>
        </w:rPr>
        <w:t>Llanderal</w:t>
      </w:r>
      <w:proofErr w:type="spellEnd"/>
      <w:r w:rsidRPr="006E611F">
        <w:rPr>
          <w:rFonts w:asciiTheme="minorHAnsi" w:hAnsiTheme="minorHAnsi" w:cs="Arial"/>
          <w:color w:val="000000"/>
        </w:rPr>
        <w:t xml:space="preserve"> Zaragoza, Armando Chávez Román, Rosa Alanís Yépez, Dora Elia </w:t>
      </w:r>
      <w:proofErr w:type="spellStart"/>
      <w:r w:rsidRPr="006E611F">
        <w:rPr>
          <w:rFonts w:asciiTheme="minorHAnsi" w:hAnsiTheme="minorHAnsi" w:cs="Arial"/>
          <w:color w:val="000000"/>
        </w:rPr>
        <w:t>Herrejón</w:t>
      </w:r>
      <w:proofErr w:type="spellEnd"/>
      <w:r w:rsidRPr="006E611F">
        <w:rPr>
          <w:rFonts w:asciiTheme="minorHAnsi" w:hAnsiTheme="minorHAnsi" w:cs="Arial"/>
          <w:color w:val="000000"/>
        </w:rPr>
        <w:t xml:space="preserve"> Saucedo, Gilberto Alejandro </w:t>
      </w:r>
      <w:proofErr w:type="spellStart"/>
      <w:r w:rsidRPr="006E611F">
        <w:rPr>
          <w:rFonts w:asciiTheme="minorHAnsi" w:hAnsiTheme="minorHAnsi" w:cs="Arial"/>
          <w:color w:val="000000"/>
        </w:rPr>
        <w:t>Bribiesca</w:t>
      </w:r>
      <w:proofErr w:type="spellEnd"/>
      <w:r w:rsidRPr="006E611F">
        <w:rPr>
          <w:rFonts w:asciiTheme="minorHAnsi" w:hAnsiTheme="minorHAnsi" w:cs="Arial"/>
          <w:color w:val="000000"/>
        </w:rPr>
        <w:t xml:space="preserve"> Vázquez, Víctor Manuel Ponce Solorio y Rolando López Villaseñor; y como Magistrados Supernumerarios los licenciados Augusto Arriaga </w:t>
      </w:r>
      <w:proofErr w:type="spellStart"/>
      <w:r w:rsidRPr="006E611F">
        <w:rPr>
          <w:rFonts w:asciiTheme="minorHAnsi" w:hAnsiTheme="minorHAnsi" w:cs="Arial"/>
          <w:color w:val="000000"/>
        </w:rPr>
        <w:t>Mayés</w:t>
      </w:r>
      <w:proofErr w:type="spellEnd"/>
      <w:r w:rsidRPr="006E611F">
        <w:rPr>
          <w:rFonts w:asciiTheme="minorHAnsi" w:hAnsiTheme="minorHAnsi" w:cs="Arial"/>
          <w:color w:val="000000"/>
        </w:rPr>
        <w:t>, Lucia Villalón Alejo y Miguel Dorantes Marín; encargo que les fue encomendado para dos procesos ordinarios sucesivos, con posibilidad legal de reelección; y en el mismo acto se tomó la protesta de ley.</w:t>
      </w:r>
    </w:p>
    <w:p w:rsidR="00DC59B2" w:rsidRPr="006E611F" w:rsidRDefault="00DC59B2" w:rsidP="00DC59B2">
      <w:pPr>
        <w:pStyle w:val="NormalWeb"/>
        <w:spacing w:before="0" w:beforeAutospacing="0" w:after="0" w:afterAutospacing="0"/>
        <w:jc w:val="both"/>
        <w:rPr>
          <w:rFonts w:asciiTheme="minorHAnsi" w:hAnsiTheme="minorHAnsi" w:cs="Arial"/>
          <w:color w:val="000000"/>
        </w:rPr>
      </w:pPr>
    </w:p>
    <w:p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El día 29 de Junio del año 2001, en la primera sesión ordinaria de Pleno, reunidos la totalidad de los Magistrados Numerarios, se procedió a llevar a cabo la designación del Presidente del Tribunal, recayendo el nombramiento por mayoría de votos en la licenciada María de los Ángeles </w:t>
      </w:r>
      <w:proofErr w:type="spellStart"/>
      <w:r w:rsidRPr="006E611F">
        <w:rPr>
          <w:rFonts w:asciiTheme="minorHAnsi" w:hAnsiTheme="minorHAnsi" w:cs="Arial"/>
          <w:color w:val="000000"/>
        </w:rPr>
        <w:t>Llanderal</w:t>
      </w:r>
      <w:proofErr w:type="spellEnd"/>
      <w:r w:rsidRPr="006E611F">
        <w:rPr>
          <w:rFonts w:asciiTheme="minorHAnsi" w:hAnsiTheme="minorHAnsi" w:cs="Arial"/>
          <w:color w:val="000000"/>
        </w:rPr>
        <w:t xml:space="preserve"> Zaragoza y como suplente se designó al licenciado Víctor Manuel Ponce Solorio; se realizó la asignación de las Salas Unitarias a los Magistrados Numerarios y luego de un breve receso, en la misma fecha y con la presencia de los Magistrados Numerarios y Supernumerarios, se llevó a cabo la declaratoria de instalación formal del Tribunal Electoral, para el proceso electoral ordinario 2001 para renovar los poderes Ejecutivo, Legislativo así como los Ayuntamientos del Estado.</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lastRenderedPageBreak/>
        <w:t>Luego de llevar a cabo diversos análisis y discusiones, en sesión ordinaria de Pleno del 22 de Agosto del año 2001, los Magistrados del Tribunal Electoral, aprobaron por unanimidad el nuevo</w:t>
      </w:r>
      <w:r w:rsidRPr="006E611F">
        <w:rPr>
          <w:rStyle w:val="apple-converted-space"/>
          <w:rFonts w:asciiTheme="minorHAnsi" w:hAnsiTheme="minorHAnsi" w:cs="Arial"/>
          <w:color w:val="000000"/>
        </w:rPr>
        <w:t> </w:t>
      </w:r>
      <w:r w:rsidRPr="006E611F">
        <w:rPr>
          <w:rStyle w:val="nfasis"/>
          <w:rFonts w:asciiTheme="minorHAnsi" w:hAnsiTheme="minorHAnsi" w:cs="Arial"/>
          <w:color w:val="000000"/>
        </w:rPr>
        <w:t>Reglamento Interior del Tribunal Electoral del Estado,</w:t>
      </w:r>
      <w:r w:rsidRPr="006E611F">
        <w:rPr>
          <w:rStyle w:val="apple-converted-space"/>
          <w:rFonts w:asciiTheme="minorHAnsi" w:hAnsiTheme="minorHAnsi" w:cs="Arial"/>
          <w:color w:val="000000"/>
        </w:rPr>
        <w:t> </w:t>
      </w:r>
      <w:r w:rsidRPr="006E611F">
        <w:rPr>
          <w:rFonts w:asciiTheme="minorHAnsi" w:hAnsiTheme="minorHAnsi" w:cs="Arial"/>
          <w:color w:val="000000"/>
        </w:rPr>
        <w:t>en cuyo artículo segundo transitorio se abrogó el Reglamento Interior del Tribunal Electoral del Estado aprobado en sesión del 5 de Julio de 1995.</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En sesión de Pleno de 6 de marzo de 2007, el Congreso del Estado aprobó la convocatoria pública para la elección de Magistrados del Tribunal Electoral del Estado, con la finalidad de recibir solicitudes de aspirantes al cargo, la cual se publicó al día siguiente, en los medios de comunicación impresos de mayor circulación en la entidad.</w:t>
      </w:r>
    </w:p>
    <w:p w:rsidR="00DC59B2" w:rsidRPr="006E611F" w:rsidRDefault="00DC59B2" w:rsidP="00DC59B2">
      <w:pPr>
        <w:pStyle w:val="NormalWeb"/>
        <w:spacing w:before="0" w:beforeAutospacing="0" w:after="0" w:afterAutospacing="0"/>
        <w:jc w:val="both"/>
        <w:rPr>
          <w:rFonts w:asciiTheme="minorHAnsi" w:hAnsiTheme="minorHAnsi" w:cs="Arial"/>
          <w:color w:val="000000"/>
        </w:rPr>
      </w:pP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El 26 de marzo</w:t>
      </w:r>
      <w:r>
        <w:rPr>
          <w:rFonts w:asciiTheme="minorHAnsi" w:hAnsiTheme="minorHAnsi" w:cs="Arial"/>
          <w:color w:val="000000"/>
        </w:rPr>
        <w:t xml:space="preserve"> de 2007</w:t>
      </w:r>
      <w:r w:rsidRPr="006E611F">
        <w:rPr>
          <w:rFonts w:asciiTheme="minorHAnsi" w:hAnsiTheme="minorHAnsi" w:cs="Arial"/>
          <w:color w:val="000000"/>
        </w:rPr>
        <w:t>, en cumplimiento a lo establecido en la base décima de la convocatoria pública, las Comisiones indicadas, por separado, presentaron al Pleno del Congreso de Estado una propuesta por cada Magistrado a elegir, la que para ser aprobada requería el voto de las dos terceras partes de los diputados presentes en la sesión, de no alcanzar esa mayoría las comisiones presentarían nuevas propuestas.</w:t>
      </w: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w:t>
      </w:r>
    </w:p>
    <w:p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Las comisiones de Justicia, de Gobernación y de Puntos Constitucionales, conforme a lo dispuesto en los artículos 76, 98 A párrafos octavo, noveno y décimo de la Constitución Política del Estado Libre y Soberano de Michoacán de Ocampo, 201 párrafos cuarto y quinto, 202 y 203 del Código Electoral del Estado de Michoacán, desahogado el procedimiento previsto en la normativa invocada y en la base décima de la convocatoria pública, presentaron al Pleno del Congreso del Estado, propuesta para elegir Magistrados del Tribunal Electoral del Estado, por un período constitucional de dos procesos electorales ordinarios sucesivos, a los ciudadanos Licenciado Jorge Alberto </w:t>
      </w:r>
      <w:proofErr w:type="spellStart"/>
      <w:r w:rsidRPr="006E611F">
        <w:rPr>
          <w:rFonts w:asciiTheme="minorHAnsi" w:hAnsiTheme="minorHAnsi" w:cs="Arial"/>
          <w:color w:val="000000"/>
        </w:rPr>
        <w:t>Zamacona</w:t>
      </w:r>
      <w:proofErr w:type="spellEnd"/>
      <w:r w:rsidRPr="006E611F">
        <w:rPr>
          <w:rFonts w:asciiTheme="minorHAnsi" w:hAnsiTheme="minorHAnsi" w:cs="Arial"/>
          <w:color w:val="000000"/>
        </w:rPr>
        <w:t xml:space="preserve"> Madrigal, Licenciada María de Jesús García Ramírez, Licenciado Fernando González Cendejas, M. en D y Esp. </w:t>
      </w:r>
      <w:proofErr w:type="gramStart"/>
      <w:r w:rsidRPr="006E611F">
        <w:rPr>
          <w:rFonts w:asciiTheme="minorHAnsi" w:hAnsiTheme="minorHAnsi" w:cs="Arial"/>
          <w:color w:val="000000"/>
        </w:rPr>
        <w:t>en</w:t>
      </w:r>
      <w:proofErr w:type="gramEnd"/>
      <w:r w:rsidRPr="006E611F">
        <w:rPr>
          <w:rFonts w:asciiTheme="minorHAnsi" w:hAnsiTheme="minorHAnsi" w:cs="Arial"/>
          <w:color w:val="000000"/>
        </w:rPr>
        <w:t xml:space="preserve"> D.P. Alejandro Sánchez García y Mtro. Jaime del Río Salcedo.</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Por lo que con fundamento en el Artículo 138 de la Ley Orgánica y de Procedimientos del Congreso del Estado de Michoacán de Ocampo, se sometieron las propuestas a votación nominal, informando el resultado de 37, 36, 36, 33 y 37 votos a favor respectivamente, por lo que se designaron Magistrados del Tribunal Electoral del Estado, por un período constitucional de dos procesos electorales ordinarios sucesivos, a los ciudadanos Licenciado Jorge Alberto </w:t>
      </w:r>
      <w:proofErr w:type="spellStart"/>
      <w:r w:rsidRPr="006E611F">
        <w:rPr>
          <w:rFonts w:asciiTheme="minorHAnsi" w:hAnsiTheme="minorHAnsi" w:cs="Arial"/>
          <w:color w:val="000000"/>
        </w:rPr>
        <w:t>Zamacona</w:t>
      </w:r>
      <w:proofErr w:type="spellEnd"/>
      <w:r w:rsidRPr="006E611F">
        <w:rPr>
          <w:rFonts w:asciiTheme="minorHAnsi" w:hAnsiTheme="minorHAnsi" w:cs="Arial"/>
          <w:color w:val="000000"/>
        </w:rPr>
        <w:t xml:space="preserve"> Madrigal, Licenciada María de Jesús García Ramírez, Licenciado Fernando González Cendejas, M. en D y Esp. </w:t>
      </w:r>
      <w:proofErr w:type="gramStart"/>
      <w:r w:rsidRPr="006E611F">
        <w:rPr>
          <w:rFonts w:asciiTheme="minorHAnsi" w:hAnsiTheme="minorHAnsi" w:cs="Arial"/>
          <w:color w:val="000000"/>
        </w:rPr>
        <w:t>en</w:t>
      </w:r>
      <w:proofErr w:type="gramEnd"/>
      <w:r w:rsidRPr="006E611F">
        <w:rPr>
          <w:rFonts w:asciiTheme="minorHAnsi" w:hAnsiTheme="minorHAnsi" w:cs="Arial"/>
          <w:color w:val="000000"/>
        </w:rPr>
        <w:t xml:space="preserve"> D.P. Alejandro Sánchez García y Mtro. Jaime del Río Salcedo, por lo que se ordenó la elaboración del Decreto correspondiente.</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B56ACF"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 xml:space="preserve">El mismo día, en las instalaciones del Tribunal Electoral del Estado de Michoacán, en sesión extraordinaria de Pleno, los recién electos Magistrados, en cumplimiento al artículo 202 del Código Electoral del Estado de Michoacán, acordaron el procedimiento para la elección de Presidente, mediante voto secreto, a través de tarjetas donde se anotó el nombre del magistrado propuesto. Acto seguido se recibió de los Magistrados la votación, resultando con mayoría de votos el Magistrado Jaime del Río Salcedo, siguiendo el mismo </w:t>
      </w:r>
      <w:r w:rsidRPr="00B56ACF">
        <w:rPr>
          <w:rFonts w:asciiTheme="minorHAnsi" w:hAnsiTheme="minorHAnsi" w:cs="Arial"/>
          <w:color w:val="000000"/>
        </w:rPr>
        <w:lastRenderedPageBreak/>
        <w:t>procedimiento para la elección de Presidente Suplente, resultando con mayoría de votos, en segunda vuelta, la Magistrada María de Jesús García Ramírez.</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 xml:space="preserve">De esta forma, con la designación de los Magistrados Jaime del Río Salcedo, María de Jesús García Ramírez, Fernando González Cendejas, Alejandro Sánchez García y Jorge Alberto </w:t>
      </w:r>
      <w:proofErr w:type="spellStart"/>
      <w:r w:rsidRPr="00B56ACF">
        <w:rPr>
          <w:rFonts w:asciiTheme="minorHAnsi" w:hAnsiTheme="minorHAnsi" w:cs="Arial"/>
          <w:color w:val="000000"/>
        </w:rPr>
        <w:t>Zamacona</w:t>
      </w:r>
      <w:proofErr w:type="spellEnd"/>
      <w:r w:rsidRPr="00B56ACF">
        <w:rPr>
          <w:rFonts w:asciiTheme="minorHAnsi" w:hAnsiTheme="minorHAnsi" w:cs="Arial"/>
          <w:color w:val="000000"/>
        </w:rPr>
        <w:t xml:space="preserve"> Madrigal, se inició la Cuarta Época del Tribunal Electoral del Estado.</w:t>
      </w:r>
    </w:p>
    <w:p w:rsidR="00DC59B2" w:rsidRDefault="00DC59B2" w:rsidP="00DC59B2">
      <w:pPr>
        <w:pStyle w:val="NormalWeb"/>
        <w:spacing w:before="0" w:beforeAutospacing="0" w:after="0" w:afterAutospacing="0"/>
        <w:jc w:val="both"/>
        <w:rPr>
          <w:rFonts w:asciiTheme="minorHAnsi" w:hAnsiTheme="minorHAnsi" w:cs="Arial"/>
          <w:color w:val="000000"/>
        </w:rPr>
      </w:pP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El 2 de octubre de 2014, con 84 votos a favor y tres en contra, la asamblea designó a los nuevos magistrados electorales de Baja California Sur, Campeche, Colima, Chiapas, Estado de México, Guanajuato, Guerrero, Jalisco, Michoacán, Morelos, Nuevo León, Querétaro, San Luis Potosí, Sonora, Tabasco, Yucatán y del Distrito Federal.</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Lo anterior, como consecuencia de lo dispuesto en el artículo décimo transitorio del decreto que reforma diversos artículos de la Constitución en materia político-electoral, en la que se establece que la Cámara de Senadores debe cumplir con los procedimientos para el nombramiento de los magistrados electorales locales, y todo ello como resultado de la Reforma político-electoral publicada en el Diario Oficial de la Federación el 10 de febrero de 2014.</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Dicha designación siguió un proceso de selección a cargo de los legisladores de la Cámara Alta del Congreso de la Unión, que tuvo como conclusión el 6 de octubre con la toma de protesta de 67 Magistrados de 17 entidades federativas.</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La designación se comunicó al Presidente del Tribunal Electoral del Poder Judicial de la Federación, a los titulares de los gobiernos de los estados y del Distrito Federal, a los congresos locales y a la Asamblea Legislativa del Distrito Federal, así como al Presidente de la Suprema Corte de Justicia de la Nación y al Consejo General del Instituto Nacional Electoral.</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Además, se informó a los presidentes de los organismos locales en materia electoral, de las entidades federativas y del Distrito Federal correspondientes a los magistrados que se eligen.</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Para el proceso de selección de Magistrados a integrar el Tribunal Electoral del Estado de Michoacán participaron 22 aspirantes, de entre quienes fueron designados Alejandro Rodríguez Santoyo, por 3 años; Rubén Herrera Rodríguez, por 3 años; Ignacio Hurtado Gómez, por 5 años; Omero Valdovinos Mercado, por 5 años y  José René Olivos Campos, por 7 años.</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xml:space="preserve">Asimismo, de acuerdo con el artículo 109, párrafo tercero, de la Ley General de Procedimientos e Instituciones Electorales,  la presidencia deberá ser rotatoria, por lo que el 7 de octubre, en Sesión Pública de Pleno, realizada con motivo de la Instalación e Inicio de Funciones del TEEM se realizó la votación respectiva, habiendo sido electo José René Olivos Campos  para encabezar al Tribunal  por  el periodo comprendido entre el 7 de </w:t>
      </w:r>
      <w:r w:rsidRPr="00876B21">
        <w:rPr>
          <w:rFonts w:eastAsia="Times New Roman" w:cs="Arial"/>
          <w:color w:val="000000"/>
          <w:sz w:val="24"/>
          <w:szCs w:val="24"/>
          <w:lang w:eastAsia="es-MX"/>
        </w:rPr>
        <w:lastRenderedPageBreak/>
        <w:t>octubre de 2014 y el 31 de diciembre de 2015, para posteriormente dar lugar a una nueva votación en la que se determinará  que  Magistrado lo sucederá.</w:t>
      </w:r>
    </w:p>
    <w:p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rsidR="00DC59B2"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En igual sesión, los Magistrados emitieron su voto a fin de elegir al Presidente sustituto del TEEM, resultando electo el Magistrado Alejandro Rodríguez Santoyo, quien desempeñará dicho cargo por el periodo señalado.</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El día 31 de diciembre de 2015 en Sesión de Pleno del Tribunal Electoral del Estado, se designa por unanimidad de votos como Presidente del Tribunal Electoral del Estado, al Magistrado Alejandro Rodríguez Santoyo, y como Presidente Suplente al Magistrado Rubén Herrera Rodríguez por el periodo comprendido del 1 de enero al 31 de diciembre de 2016.</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eastAsia="Times New Roman" w:cs="Arial"/>
          <w:color w:val="000000"/>
          <w:sz w:val="24"/>
          <w:szCs w:val="24"/>
          <w:lang w:eastAsia="es-MX"/>
        </w:rPr>
      </w:pPr>
      <w:r w:rsidRPr="000F0B2D">
        <w:rPr>
          <w:rFonts w:eastAsia="Times New Roman" w:cs="Arial"/>
          <w:color w:val="000000"/>
          <w:sz w:val="24"/>
          <w:szCs w:val="24"/>
          <w:lang w:eastAsia="es-MX"/>
        </w:rPr>
        <w:t>El día 21 de diciembre de 2016 en Sesión de Pleno del Tribunal Electoral del Estado, se designa por unanimidad de votos como Presidente del Tribunal Electoral del Estado, al Magistrado Rubén Herrera Rodríguez, y como Presidente Suplente al Magistrado Omero Valdovinos Mercado por el periodo comprendido del 1 de enero al 2 de octubre de 2017.</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cstheme="minorHAnsi"/>
          <w:sz w:val="24"/>
          <w:szCs w:val="24"/>
        </w:rPr>
      </w:pPr>
      <w:r>
        <w:rPr>
          <w:rFonts w:cstheme="minorHAnsi"/>
          <w:sz w:val="24"/>
          <w:szCs w:val="24"/>
        </w:rPr>
        <w:t xml:space="preserve">Debido a que los magistrados Alejandro Rodríguez Santoyo y Rubén Herrera Rodríguez terminan su encargo para el que fueron electos como magistrados el día 6 de octubre de 2017, en sesión pública del día 2 de octubre de 2017, </w:t>
      </w:r>
      <w:r w:rsidRPr="002F48F5">
        <w:rPr>
          <w:rFonts w:cstheme="minorHAnsi"/>
          <w:sz w:val="24"/>
          <w:szCs w:val="24"/>
        </w:rPr>
        <w:t xml:space="preserve">el Pleno del Tribunal Electoral del Estado de Michoacán, de conformidad con su Reglamento Interior y con la Ley General de Instituciones y Procedimientos Electorales, designó en sesión pública de forma Provisional al Doctor José René Olivos Campos como presidente del TEEM a partir del 3 de octubre de este año. </w:t>
      </w:r>
    </w:p>
    <w:p w:rsidR="00DC59B2" w:rsidRDefault="00DC59B2" w:rsidP="00DC59B2">
      <w:pPr>
        <w:spacing w:after="0" w:line="240" w:lineRule="auto"/>
        <w:jc w:val="both"/>
        <w:rPr>
          <w:rFonts w:cstheme="minorHAnsi"/>
          <w:sz w:val="24"/>
          <w:szCs w:val="24"/>
        </w:rPr>
      </w:pPr>
    </w:p>
    <w:p w:rsidR="00DC59B2" w:rsidRDefault="00DC59B2" w:rsidP="00DC59B2">
      <w:pPr>
        <w:spacing w:after="0" w:line="240" w:lineRule="auto"/>
        <w:jc w:val="both"/>
        <w:rPr>
          <w:rFonts w:cstheme="minorHAnsi"/>
          <w:sz w:val="24"/>
          <w:szCs w:val="24"/>
        </w:rPr>
      </w:pPr>
      <w:r>
        <w:rPr>
          <w:rFonts w:cstheme="minorHAnsi"/>
          <w:sz w:val="24"/>
          <w:szCs w:val="24"/>
        </w:rPr>
        <w:t>El día 9 de Octubre de 2017, en sesión pública, el Magistrado José René Olivos Campos presenta ante el Pleno de este órgano jurisdiccional, su renuncia al cargo de Presidente del Tribunal Electoral del Estado; en esa misma sesión, se designa como Presidente del Tribunal Electoral del Estado al Magistrado Ignacio Hurtado Gómez, por el periodo del 10 de octubre de 2017, hasta la designación e integración del Pleno, una vez que el Senado de la República lo haya realizado.</w:t>
      </w:r>
    </w:p>
    <w:p w:rsidR="00DC59B2" w:rsidRDefault="00DC59B2" w:rsidP="00DC59B2">
      <w:pPr>
        <w:spacing w:after="0" w:line="240" w:lineRule="auto"/>
        <w:jc w:val="both"/>
        <w:rPr>
          <w:rFonts w:cstheme="minorHAnsi"/>
          <w:sz w:val="24"/>
          <w:szCs w:val="24"/>
        </w:rPr>
      </w:pPr>
    </w:p>
    <w:p w:rsidR="00DC59B2" w:rsidRDefault="00DC59B2" w:rsidP="00DC59B2">
      <w:pPr>
        <w:spacing w:after="0" w:line="240" w:lineRule="auto"/>
        <w:jc w:val="both"/>
        <w:rPr>
          <w:rFonts w:cstheme="minorHAnsi"/>
          <w:sz w:val="24"/>
          <w:szCs w:val="24"/>
        </w:rPr>
      </w:pPr>
      <w:r>
        <w:rPr>
          <w:rFonts w:cstheme="minorHAnsi"/>
          <w:sz w:val="24"/>
          <w:szCs w:val="24"/>
        </w:rPr>
        <w:t xml:space="preserve">El día 15 de diciembre de 2017, en sesión ordinaria, el Senado de la República, designó como magistrados electorales para el estado de Michoacán a la Licenciada Yolanda Camacho Ochoa y al Doctor Salvador Alejandro Pérez Contreras, los cuales se integran al pleno de este órgano jurisdiccional por un periodo de siete años; una vez conformado el pleno con los cinco magistrados, en sesión pública celebrada el día 19 de diciembre de 2017, se eligió como Presidente de este órgano jurisdiccional al Magistrado Ignacio Hurtado Gómez, y como Presidente Suplente al Magistrado Omero Valdovinos Mercado, por unanimidad de votos, por el periodo comprendido del 20 de diciembre de 2017 al 30 de Septiembre de 2018, aprobando también por única ocasión, que el Magistrado Presidente Suplente, Omero Valdovinos Mercado, asumirá la Presidencia a partir del 1 de octubre de 2018 y hasta el 30 de Septiembre de 2019. En sesión pública del día 28 de septiembre de 2019, se designó a la Magistrada Yolanda Camacho Ochoa, como Presidenta de este órgano jurisdiccional con </w:t>
      </w:r>
      <w:r>
        <w:rPr>
          <w:rFonts w:cstheme="minorHAnsi"/>
          <w:sz w:val="24"/>
          <w:szCs w:val="24"/>
        </w:rPr>
        <w:lastRenderedPageBreak/>
        <w:t xml:space="preserve">efectos a partir del día 1 de octubre de 2019 y hasta  el 31 de agosto de agosto de 2020, asignando a partir de septiembre de 2020 a la Magistrada Presidenta  </w:t>
      </w:r>
      <w:proofErr w:type="spellStart"/>
      <w:r>
        <w:rPr>
          <w:rFonts w:cstheme="minorHAnsi"/>
          <w:sz w:val="24"/>
          <w:szCs w:val="24"/>
        </w:rPr>
        <w:t>Yurisha</w:t>
      </w:r>
      <w:proofErr w:type="spellEnd"/>
      <w:r>
        <w:rPr>
          <w:rFonts w:cstheme="minorHAnsi"/>
          <w:sz w:val="24"/>
          <w:szCs w:val="24"/>
        </w:rPr>
        <w:t xml:space="preserve"> Andrade Morales. </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b/>
          <w:color w:val="000000"/>
          <w:sz w:val="24"/>
          <w:szCs w:val="24"/>
          <w:lang w:eastAsia="es-MX"/>
        </w:rPr>
        <w:t>Organización y objeto social:</w:t>
      </w:r>
      <w:r>
        <w:rPr>
          <w:rFonts w:eastAsia="Times New Roman" w:cs="Arial"/>
          <w:b/>
          <w:color w:val="000000"/>
          <w:sz w:val="24"/>
          <w:szCs w:val="24"/>
          <w:lang w:eastAsia="es-MX"/>
        </w:rPr>
        <w:t xml:space="preserve"> </w:t>
      </w:r>
    </w:p>
    <w:p w:rsidR="00DC59B2" w:rsidRDefault="00DC59B2" w:rsidP="00DC59B2">
      <w:pPr>
        <w:spacing w:after="0" w:line="240" w:lineRule="auto"/>
        <w:jc w:val="both"/>
        <w:rPr>
          <w:rFonts w:eastAsia="Times New Roman" w:cs="Arial"/>
          <w:color w:val="000000"/>
          <w:sz w:val="24"/>
          <w:szCs w:val="24"/>
          <w:lang w:eastAsia="es-MX"/>
        </w:rPr>
      </w:pP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constituido una autoridad jurisdiccional electoral, permanente, autónoma e independiente para la resolución de las controversias en la materia.</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Asimismo, igualmente son relevantes funciones de capacitación judicial electoral, y en su momento otros aspectos mencionados en la exposición de motivos, de reciente reforma electoral que señala: </w:t>
      </w:r>
      <w:r w:rsidRPr="009A4003">
        <w:rPr>
          <w:rFonts w:eastAsia="Times New Roman" w:cs="Arial"/>
          <w:i/>
          <w:iCs/>
          <w:color w:val="000000"/>
          <w:sz w:val="24"/>
          <w:szCs w:val="24"/>
          <w:lang w:eastAsia="es-MX"/>
        </w:rPr>
        <w:t>En los períodos interprocesos las tareas de fomento de la cultura de la legalidad en materia de justicia electoral y participación ciudadana cobran especial trascendencia como labor del Tribunal Electoral del Estado dotándolo de esta obligación constitucional.</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en el artículo 98 A se prevé: </w:t>
      </w:r>
      <w:r w:rsidRPr="009A4003">
        <w:rPr>
          <w:rFonts w:eastAsia="Times New Roman" w:cs="Arial"/>
          <w:i/>
          <w:iCs/>
          <w:color w:val="000000"/>
          <w:sz w:val="24"/>
          <w:szCs w:val="24"/>
          <w:lang w:eastAsia="es-MX"/>
        </w:rPr>
        <w:t>El Tribunal Electoral cubrirá en su desempeño, además de lo que determine la ley, las actividades relativas al fomento de la cultura de la legalidad en materia de justicia electoral y participación ciudadana, consistentes en tareas de capacitación, investigación y difusión.</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Así, las funciones de capacitación judicial electoral se transforman en sustantivas del TEEM, por mandato constitucional.</w:t>
      </w:r>
    </w:p>
    <w:p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xml:space="preserve">Por último, las funciones específicas del Tribunal se encuentran inmersas en las facultades y atribuciones del Pleno, del Magistrado Presidente, así como de los Magistrados, por lo que, en todo caso, habrá que remitirse para mayor precisión a las disposiciones relativas, como lo son, entre otras, el propio artículo 98 A constitucional, 64, 65 y 66, del Código </w:t>
      </w:r>
      <w:r w:rsidRPr="009A4003">
        <w:rPr>
          <w:rFonts w:eastAsia="Times New Roman" w:cs="Arial"/>
          <w:color w:val="000000"/>
          <w:sz w:val="24"/>
          <w:szCs w:val="24"/>
          <w:lang w:eastAsia="es-MX"/>
        </w:rPr>
        <w:lastRenderedPageBreak/>
        <w:t>Electoral del Estado, así como, 5, 6 y 7, del Reglamento Interior del Tribunal Electoral del Estado.</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El Tribunal Electoral del Estado tiene como fecha de inicio de operaciones el 30/05/1995 siendo registrado ante el Servicio de Administración Tributaria con la actividad de SERVICIOS ORGANIZS CIVICAS CLUBES LITERARIOS y teniendo como principales obligaciones las siguientes:</w:t>
      </w:r>
    </w:p>
    <w:p w:rsidR="00DC59B2" w:rsidRDefault="00DC59B2" w:rsidP="00DC59B2">
      <w:pPr>
        <w:spacing w:after="0" w:line="240" w:lineRule="auto"/>
        <w:jc w:val="both"/>
        <w:rPr>
          <w:rFonts w:eastAsia="Times New Roman" w:cs="Arial"/>
          <w:color w:val="000000"/>
          <w:sz w:val="24"/>
          <w:szCs w:val="24"/>
          <w:lang w:eastAsia="es-MX"/>
        </w:rPr>
      </w:pPr>
    </w:p>
    <w:p w:rsidR="00DC59B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Retención Salarios y demás prestaciones que deriven de una relación laboral</w:t>
      </w:r>
    </w:p>
    <w:p w:rsidR="00DC59B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Retención Prestación de servicios profesionales</w:t>
      </w:r>
    </w:p>
    <w:p w:rsidR="00DC59B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Retención Arrendamiento y en general por otorgar el uso o goce temporal de inmuebles</w:t>
      </w:r>
    </w:p>
    <w:p w:rsidR="00DC59B2" w:rsidRPr="0035319D"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Retención del Impuesto al Valor Agregado</w:t>
      </w:r>
    </w:p>
    <w:p w:rsidR="00DC59B2" w:rsidRDefault="00DC59B2" w:rsidP="00DC59B2">
      <w:pPr>
        <w:spacing w:after="0" w:line="240" w:lineRule="auto"/>
        <w:jc w:val="both"/>
        <w:rPr>
          <w:rFonts w:eastAsia="Times New Roman" w:cs="Arial"/>
          <w:b/>
          <w:color w:val="000000"/>
          <w:sz w:val="24"/>
          <w:szCs w:val="24"/>
          <w:lang w:eastAsia="es-MX"/>
        </w:rPr>
      </w:pPr>
      <w:r>
        <w:rPr>
          <w:rFonts w:eastAsia="Times New Roman" w:cs="Arial"/>
          <w:b/>
          <w:color w:val="000000"/>
          <w:sz w:val="24"/>
          <w:szCs w:val="24"/>
          <w:lang w:eastAsia="es-MX"/>
        </w:rPr>
        <w:t>Organigrama</w:t>
      </w:r>
    </w:p>
    <w:p w:rsidR="00DC59B2" w:rsidRDefault="00DC59B2" w:rsidP="00DC59B2">
      <w:pPr>
        <w:pStyle w:val="Default"/>
      </w:pPr>
    </w:p>
    <w:p w:rsidR="00DC59B2" w:rsidRDefault="00DC59B2" w:rsidP="00DC59B2">
      <w:pPr>
        <w:pStyle w:val="Default"/>
      </w:pPr>
      <w:r>
        <w:t>Anexo 1</w:t>
      </w:r>
    </w:p>
    <w:p w:rsidR="00DC59B2" w:rsidRPr="00863BF8" w:rsidRDefault="00DC59B2" w:rsidP="00DC59B2">
      <w:pPr>
        <w:spacing w:after="0" w:line="240" w:lineRule="auto"/>
        <w:jc w:val="both"/>
        <w:rPr>
          <w:rFonts w:eastAsia="Times New Roman" w:cs="Arial"/>
          <w:b/>
          <w:color w:val="000000"/>
          <w:sz w:val="24"/>
          <w:szCs w:val="24"/>
          <w:lang w:eastAsia="es-MX"/>
        </w:rPr>
      </w:pPr>
    </w:p>
    <w:p w:rsidR="00DC59B2" w:rsidRDefault="00DC59B2" w:rsidP="00DC59B2">
      <w:pPr>
        <w:rPr>
          <w:b/>
          <w:sz w:val="24"/>
          <w:szCs w:val="24"/>
        </w:rPr>
      </w:pPr>
    </w:p>
    <w:p w:rsidR="00DC59B2" w:rsidRDefault="00DC59B2" w:rsidP="00DC59B2">
      <w:pPr>
        <w:rPr>
          <w:b/>
          <w:sz w:val="24"/>
          <w:szCs w:val="24"/>
        </w:rPr>
      </w:pPr>
      <w:r w:rsidRPr="000F736B">
        <w:rPr>
          <w:b/>
          <w:sz w:val="24"/>
          <w:szCs w:val="24"/>
        </w:rPr>
        <w:t>Bases de preparación de los Estados Financieros:</w:t>
      </w:r>
    </w:p>
    <w:p w:rsidR="00DC59B2" w:rsidRDefault="00DC59B2" w:rsidP="00DC59B2">
      <w:pPr>
        <w:jc w:val="both"/>
        <w:rPr>
          <w:sz w:val="24"/>
          <w:szCs w:val="24"/>
        </w:rPr>
      </w:pPr>
      <w:r>
        <w:rPr>
          <w:sz w:val="24"/>
          <w:szCs w:val="24"/>
        </w:rPr>
        <w:t>Para la elaboración de los estados financieros presentados se ha observado la normatividad emitida por el CONAC y las disposiciones legales aplicables.</w:t>
      </w:r>
    </w:p>
    <w:p w:rsidR="00DC59B2" w:rsidRPr="000F0B2D" w:rsidRDefault="00DC59B2" w:rsidP="00DC59B2">
      <w:pPr>
        <w:rPr>
          <w:b/>
          <w:sz w:val="24"/>
          <w:szCs w:val="24"/>
        </w:rPr>
      </w:pPr>
      <w:r w:rsidRPr="000F0B2D">
        <w:rPr>
          <w:b/>
          <w:sz w:val="24"/>
          <w:szCs w:val="24"/>
        </w:rPr>
        <w:t>Características del Sistema de Contabilidad Gubernamental:</w:t>
      </w:r>
    </w:p>
    <w:p w:rsidR="00DC59B2" w:rsidRPr="000F0B2D" w:rsidRDefault="00DC59B2" w:rsidP="00426058">
      <w:pPr>
        <w:shd w:val="clear" w:color="auto" w:fill="FFFFFF"/>
        <w:spacing w:before="100" w:beforeAutospacing="1" w:after="225" w:line="360" w:lineRule="atLeast"/>
        <w:jc w:val="both"/>
        <w:rPr>
          <w:rFonts w:eastAsia="Times New Roman" w:cs="Times New Roman"/>
          <w:b/>
          <w:bCs/>
          <w:sz w:val="33"/>
          <w:szCs w:val="33"/>
          <w:lang w:val="es-ES" w:eastAsia="es-MX"/>
        </w:rPr>
      </w:pPr>
      <w:r w:rsidRPr="000F0B2D">
        <w:rPr>
          <w:rFonts w:eastAsia="Times New Roman" w:cs="Times New Roman"/>
          <w:sz w:val="24"/>
          <w:szCs w:val="24"/>
          <w:lang w:val="es-ES" w:eastAsia="es-MX"/>
        </w:rPr>
        <w:t>El Sistema SAACG.NET una herramienta informática desarrollada por el INDETEC dirigida a municipios y organismos públicos descentralizados de estados y municipios que requieren de una aplicación más robusta para soportar mayor número de operaciones, para facilitar e integrar sus operaciones presupuestales, administrativas, contables y financieras, construyendo automáticamente la contabilidad con un enfoque de gestión.</w:t>
      </w:r>
      <w:r w:rsidR="0088666E">
        <w:rPr>
          <w:rFonts w:eastAsia="Times New Roman" w:cs="Times New Roman"/>
          <w:sz w:val="24"/>
          <w:szCs w:val="24"/>
          <w:lang w:val="es-ES" w:eastAsia="es-MX"/>
        </w:rPr>
        <w:t xml:space="preserve">    </w:t>
      </w:r>
      <w:r w:rsidRPr="000F0B2D">
        <w:rPr>
          <w:rFonts w:eastAsia="Times New Roman" w:cs="Times New Roman"/>
          <w:b/>
          <w:bCs/>
          <w:sz w:val="33"/>
          <w:szCs w:val="33"/>
          <w:lang w:val="es-ES" w:eastAsia="es-MX"/>
        </w:rPr>
        <w:t>Principales Características</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 xml:space="preserve">Atiende la normatividad emitida por el </w:t>
      </w:r>
      <w:r w:rsidRPr="000F0B2D">
        <w:rPr>
          <w:rFonts w:eastAsia="Times New Roman" w:cs="Times New Roman"/>
          <w:b/>
          <w:bCs/>
          <w:sz w:val="24"/>
          <w:szCs w:val="24"/>
          <w:lang w:val="es-ES" w:eastAsia="es-MX"/>
        </w:rPr>
        <w:t>CONAC</w:t>
      </w:r>
      <w:r w:rsidRPr="000F0B2D">
        <w:rPr>
          <w:rFonts w:eastAsia="Times New Roman" w:cs="Times New Roman"/>
          <w:sz w:val="24"/>
          <w:szCs w:val="24"/>
          <w:lang w:val="es-ES" w:eastAsia="es-MX"/>
        </w:rPr>
        <w:t>.</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Integra en el proceso administrativo los momentos contables del ingreso y el egreso aplicando un enfoque de gestión.</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Integra un control presupuestario con sus clasificadores correspondientes.</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Sistema de Ingresos simplificado.</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Sistema de Adquisiciones / Compras.</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Cuenta con un control para la tesorería con órdenes de pago y elaboración de cheques.</w:t>
      </w:r>
    </w:p>
    <w:p w:rsidR="00DC59B2" w:rsidRPr="000F0B2D" w:rsidRDefault="00DC59B2" w:rsidP="00DC59B2">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lastRenderedPageBreak/>
        <w:t>Posee un control de seguridad de acceso con usuarios, perfiles y permisos.</w:t>
      </w:r>
    </w:p>
    <w:p w:rsidR="00D138BB" w:rsidRPr="00B203E3" w:rsidRDefault="00DC59B2" w:rsidP="00D138BB">
      <w:pPr>
        <w:numPr>
          <w:ilvl w:val="0"/>
          <w:numId w:val="2"/>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 xml:space="preserve">Cuenta con reportes de estados financieros armonizados con la </w:t>
      </w:r>
      <w:r w:rsidRPr="000F0B2D">
        <w:rPr>
          <w:rFonts w:eastAsia="Times New Roman" w:cs="Times New Roman"/>
          <w:b/>
          <w:bCs/>
          <w:sz w:val="24"/>
          <w:szCs w:val="24"/>
          <w:lang w:val="es-ES" w:eastAsia="es-MX"/>
        </w:rPr>
        <w:t>LGCG</w:t>
      </w:r>
      <w:r w:rsidRPr="000F0B2D">
        <w:rPr>
          <w:rFonts w:eastAsia="Times New Roman" w:cs="Times New Roman"/>
          <w:sz w:val="24"/>
          <w:szCs w:val="24"/>
          <w:lang w:val="es-ES" w:eastAsia="es-MX"/>
        </w:rPr>
        <w:t>.</w:t>
      </w:r>
    </w:p>
    <w:p w:rsidR="00DC59B2" w:rsidRPr="000F0B2D" w:rsidRDefault="00DC59B2" w:rsidP="00DC59B2">
      <w:pPr>
        <w:shd w:val="clear" w:color="auto" w:fill="FFFFFF"/>
        <w:spacing w:before="100" w:beforeAutospacing="1" w:after="100" w:afterAutospacing="1" w:line="435" w:lineRule="atLeast"/>
        <w:jc w:val="both"/>
        <w:outlineLvl w:val="4"/>
        <w:rPr>
          <w:rFonts w:eastAsia="Times New Roman" w:cs="Times New Roman"/>
          <w:b/>
          <w:bCs/>
          <w:sz w:val="33"/>
          <w:szCs w:val="33"/>
          <w:lang w:val="es-ES" w:eastAsia="es-MX"/>
        </w:rPr>
      </w:pPr>
      <w:r w:rsidRPr="000F0B2D">
        <w:rPr>
          <w:rFonts w:eastAsia="Times New Roman" w:cs="Times New Roman"/>
          <w:b/>
          <w:bCs/>
          <w:sz w:val="33"/>
          <w:szCs w:val="33"/>
          <w:lang w:val="es-ES" w:eastAsia="es-MX"/>
        </w:rPr>
        <w:t xml:space="preserve">Diseño Conceptual </w:t>
      </w:r>
    </w:p>
    <w:p w:rsidR="00DC59B2" w:rsidRDefault="00DC59B2" w:rsidP="00DC59B2">
      <w:pPr>
        <w:shd w:val="clear" w:color="auto" w:fill="FFFFFF"/>
        <w:spacing w:before="100" w:beforeAutospacing="1" w:after="225" w:line="360" w:lineRule="atLeast"/>
        <w:jc w:val="both"/>
        <w:rPr>
          <w:rFonts w:eastAsia="Times New Roman" w:cs="Times New Roman"/>
          <w:sz w:val="24"/>
          <w:szCs w:val="24"/>
          <w:lang w:val="es-ES" w:eastAsia="es-MX"/>
        </w:rPr>
      </w:pPr>
      <w:r w:rsidRPr="000F0B2D">
        <w:rPr>
          <w:rFonts w:eastAsia="Times New Roman" w:cs="Times New Roman"/>
          <w:noProof/>
          <w:sz w:val="24"/>
          <w:szCs w:val="24"/>
          <w:lang w:eastAsia="es-MX"/>
        </w:rPr>
        <w:drawing>
          <wp:inline distT="0" distB="0" distL="0" distR="0" wp14:anchorId="163C6357" wp14:editId="25BBBA14">
            <wp:extent cx="2857500" cy="1685925"/>
            <wp:effectExtent l="0" t="0" r="0" b="9525"/>
            <wp:docPr id="1" name="Imagen 1" descr="saacg_diseni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acg_diseni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p w:rsidR="00DC59B2" w:rsidRPr="000F0B2D" w:rsidRDefault="00DC59B2" w:rsidP="00DC59B2">
      <w:pPr>
        <w:shd w:val="clear" w:color="auto" w:fill="FFFFFF"/>
        <w:spacing w:before="100" w:beforeAutospacing="1" w:after="225" w:line="360" w:lineRule="atLeast"/>
        <w:jc w:val="both"/>
        <w:rPr>
          <w:rFonts w:eastAsia="Times New Roman" w:cs="Times New Roman"/>
          <w:sz w:val="24"/>
          <w:szCs w:val="24"/>
          <w:lang w:val="es-ES" w:eastAsia="es-MX"/>
        </w:rPr>
      </w:pPr>
    </w:p>
    <w:p w:rsidR="00DC59B2" w:rsidRPr="000F0B2D" w:rsidRDefault="00DC59B2" w:rsidP="00DC59B2">
      <w:pPr>
        <w:shd w:val="clear" w:color="auto" w:fill="FFFFFF"/>
        <w:spacing w:before="100" w:beforeAutospacing="1" w:after="100" w:afterAutospacing="1" w:line="435" w:lineRule="atLeast"/>
        <w:outlineLvl w:val="4"/>
        <w:rPr>
          <w:rFonts w:eastAsia="Times New Roman" w:cs="Times New Roman"/>
          <w:b/>
          <w:bCs/>
          <w:sz w:val="33"/>
          <w:szCs w:val="33"/>
          <w:lang w:val="es-ES" w:eastAsia="es-MX"/>
        </w:rPr>
      </w:pPr>
      <w:r w:rsidRPr="000F0B2D">
        <w:rPr>
          <w:rFonts w:eastAsia="Times New Roman" w:cs="Times New Roman"/>
          <w:b/>
          <w:bCs/>
          <w:sz w:val="33"/>
          <w:szCs w:val="33"/>
          <w:lang w:val="es-ES" w:eastAsia="es-MX"/>
        </w:rPr>
        <w:t>Procesos administrativos para la gestión de los momentos contables de egresos</w:t>
      </w:r>
    </w:p>
    <w:p w:rsidR="00DC59B2" w:rsidRPr="000F0B2D"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Orden de Compra</w:t>
      </w:r>
    </w:p>
    <w:p w:rsidR="00DC59B2" w:rsidRPr="000F0B2D"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Recepción de Compra</w:t>
      </w:r>
    </w:p>
    <w:p w:rsidR="00DC59B2" w:rsidRPr="000F0B2D"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Orden de Pago</w:t>
      </w:r>
    </w:p>
    <w:p w:rsidR="00DC59B2" w:rsidRPr="000F0B2D"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Aplicación de Pago</w:t>
      </w:r>
    </w:p>
    <w:p w:rsidR="00DC59B2" w:rsidRPr="000F0B2D"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Productos (catálogo de bienes)</w:t>
      </w:r>
    </w:p>
    <w:p w:rsidR="00DC59B2" w:rsidRPr="00AB4457" w:rsidRDefault="00DC59B2" w:rsidP="00DC59B2">
      <w:pPr>
        <w:numPr>
          <w:ilvl w:val="0"/>
          <w:numId w:val="3"/>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Control de Proveedores</w:t>
      </w:r>
    </w:p>
    <w:p w:rsidR="00DC59B2" w:rsidRPr="000F0B2D" w:rsidRDefault="00DC59B2" w:rsidP="00DC59B2">
      <w:pPr>
        <w:shd w:val="clear" w:color="auto" w:fill="FFFFFF"/>
        <w:spacing w:before="100" w:beforeAutospacing="1" w:after="100" w:afterAutospacing="1" w:line="435" w:lineRule="atLeast"/>
        <w:jc w:val="both"/>
        <w:outlineLvl w:val="4"/>
        <w:rPr>
          <w:rFonts w:eastAsia="Times New Roman" w:cs="Times New Roman"/>
          <w:b/>
          <w:bCs/>
          <w:sz w:val="33"/>
          <w:szCs w:val="33"/>
          <w:lang w:val="es-ES" w:eastAsia="es-MX"/>
        </w:rPr>
      </w:pPr>
      <w:r w:rsidRPr="000F0B2D">
        <w:rPr>
          <w:rFonts w:eastAsia="Times New Roman" w:cs="Times New Roman"/>
          <w:b/>
          <w:bCs/>
          <w:sz w:val="33"/>
          <w:szCs w:val="33"/>
          <w:lang w:val="es-ES" w:eastAsia="es-MX"/>
        </w:rPr>
        <w:t>Características Técnicas</w:t>
      </w:r>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 xml:space="preserve">Aplicación Windows </w:t>
      </w:r>
      <w:proofErr w:type="spellStart"/>
      <w:r w:rsidRPr="000F0B2D">
        <w:rPr>
          <w:rFonts w:eastAsia="Times New Roman" w:cs="Times New Roman"/>
          <w:sz w:val="24"/>
          <w:szCs w:val="24"/>
          <w:lang w:val="es-ES" w:eastAsia="es-MX"/>
        </w:rPr>
        <w:t>Forms</w:t>
      </w:r>
      <w:proofErr w:type="spellEnd"/>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Desarrollado en Visual Studio 2010 con Lenguaje de programación C #</w:t>
      </w:r>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Motor de base de datos MS-SQL 2008</w:t>
      </w:r>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 xml:space="preserve">Arquitectura en capas con </w:t>
      </w:r>
      <w:proofErr w:type="spellStart"/>
      <w:r w:rsidRPr="000F0B2D">
        <w:rPr>
          <w:rFonts w:eastAsia="Times New Roman" w:cs="Times New Roman"/>
          <w:sz w:val="24"/>
          <w:szCs w:val="24"/>
          <w:lang w:val="es-ES" w:eastAsia="es-MX"/>
        </w:rPr>
        <w:t>Entity</w:t>
      </w:r>
      <w:proofErr w:type="spellEnd"/>
      <w:r w:rsidRPr="000F0B2D">
        <w:rPr>
          <w:rFonts w:eastAsia="Times New Roman" w:cs="Times New Roman"/>
          <w:sz w:val="24"/>
          <w:szCs w:val="24"/>
          <w:lang w:val="es-ES" w:eastAsia="es-MX"/>
        </w:rPr>
        <w:t xml:space="preserve"> </w:t>
      </w:r>
      <w:proofErr w:type="spellStart"/>
      <w:r w:rsidRPr="000F0B2D">
        <w:rPr>
          <w:rFonts w:eastAsia="Times New Roman" w:cs="Times New Roman"/>
          <w:sz w:val="24"/>
          <w:szCs w:val="24"/>
          <w:lang w:val="es-ES" w:eastAsia="es-MX"/>
        </w:rPr>
        <w:t>framework</w:t>
      </w:r>
      <w:proofErr w:type="spellEnd"/>
      <w:r w:rsidRPr="000F0B2D">
        <w:rPr>
          <w:rFonts w:eastAsia="Times New Roman" w:cs="Times New Roman"/>
          <w:sz w:val="24"/>
          <w:szCs w:val="24"/>
          <w:lang w:val="es-ES" w:eastAsia="es-MX"/>
        </w:rPr>
        <w:t xml:space="preserve"> 4.0</w:t>
      </w:r>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Estándares de codificación</w:t>
      </w:r>
    </w:p>
    <w:p w:rsidR="00DC59B2" w:rsidRPr="000F0B2D"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Sistema en red que permite múltiples usuarios</w:t>
      </w:r>
    </w:p>
    <w:p w:rsidR="00DC59B2" w:rsidRPr="00110DC6" w:rsidRDefault="00DC59B2" w:rsidP="00DC59B2">
      <w:pPr>
        <w:numPr>
          <w:ilvl w:val="0"/>
          <w:numId w:val="4"/>
        </w:numPr>
        <w:shd w:val="clear" w:color="auto" w:fill="FFFFFF"/>
        <w:spacing w:before="100" w:beforeAutospacing="1" w:after="100" w:afterAutospacing="1" w:line="360" w:lineRule="atLeast"/>
        <w:ind w:left="453"/>
        <w:rPr>
          <w:rFonts w:eastAsia="Times New Roman" w:cs="Times New Roman"/>
          <w:sz w:val="24"/>
          <w:szCs w:val="24"/>
          <w:lang w:val="es-ES" w:eastAsia="es-MX"/>
        </w:rPr>
      </w:pPr>
      <w:r w:rsidRPr="000F0B2D">
        <w:rPr>
          <w:rFonts w:eastAsia="Times New Roman" w:cs="Times New Roman"/>
          <w:sz w:val="24"/>
          <w:szCs w:val="24"/>
          <w:lang w:val="es-ES" w:eastAsia="es-MX"/>
        </w:rPr>
        <w:t>Integración de un sistema más robusto con mayor nivel de Seguridad</w:t>
      </w:r>
    </w:p>
    <w:p w:rsidR="00503159" w:rsidRPr="00DC59B2" w:rsidRDefault="00503159">
      <w:pPr>
        <w:rPr>
          <w:lang w:val="es-ES"/>
        </w:rPr>
      </w:pPr>
    </w:p>
    <w:sectPr w:rsidR="00503159" w:rsidRPr="00DC59B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79" w:rsidRDefault="006E4779" w:rsidP="00D138BB">
      <w:pPr>
        <w:spacing w:after="0" w:line="240" w:lineRule="auto"/>
      </w:pPr>
      <w:r>
        <w:separator/>
      </w:r>
    </w:p>
  </w:endnote>
  <w:endnote w:type="continuationSeparator" w:id="0">
    <w:p w:rsidR="006E4779" w:rsidRDefault="006E4779" w:rsidP="00D1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788686"/>
      <w:docPartObj>
        <w:docPartGallery w:val="Page Numbers (Bottom of Page)"/>
        <w:docPartUnique/>
      </w:docPartObj>
    </w:sdtPr>
    <w:sdtEndPr/>
    <w:sdtContent>
      <w:p w:rsidR="00016906" w:rsidRDefault="00016906">
        <w:pPr>
          <w:pStyle w:val="Piedepgina"/>
          <w:jc w:val="right"/>
        </w:pPr>
        <w:r>
          <w:fldChar w:fldCharType="begin"/>
        </w:r>
        <w:r>
          <w:instrText>PAGE   \* MERGEFORMAT</w:instrText>
        </w:r>
        <w:r>
          <w:fldChar w:fldCharType="separate"/>
        </w:r>
        <w:r w:rsidR="006A2CAB" w:rsidRPr="006A2CAB">
          <w:rPr>
            <w:noProof/>
            <w:lang w:val="es-ES"/>
          </w:rPr>
          <w:t>4</w:t>
        </w:r>
        <w:r>
          <w:fldChar w:fldCharType="end"/>
        </w:r>
      </w:p>
    </w:sdtContent>
  </w:sdt>
  <w:p w:rsidR="00016906" w:rsidRDefault="000169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79" w:rsidRDefault="006E4779" w:rsidP="00D138BB">
      <w:pPr>
        <w:spacing w:after="0" w:line="240" w:lineRule="auto"/>
      </w:pPr>
      <w:r>
        <w:separator/>
      </w:r>
    </w:p>
  </w:footnote>
  <w:footnote w:type="continuationSeparator" w:id="0">
    <w:p w:rsidR="006E4779" w:rsidRDefault="006E4779" w:rsidP="00D13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06" w:rsidRPr="00D138BB" w:rsidRDefault="00016906" w:rsidP="00D138BB">
    <w:pPr>
      <w:pStyle w:val="Encabezado"/>
    </w:pPr>
    <w:r>
      <w:rPr>
        <w:noProof/>
        <w:lang w:eastAsia="es-MX"/>
      </w:rPr>
      <mc:AlternateContent>
        <mc:Choice Requires="wps">
          <w:drawing>
            <wp:anchor distT="0" distB="0" distL="118745" distR="118745" simplePos="0" relativeHeight="251659264" behindDoc="1" locked="0" layoutInCell="1" allowOverlap="0" wp14:anchorId="26C0BCD5" wp14:editId="4B190707">
              <wp:simplePos x="0" y="0"/>
              <wp:positionH relativeFrom="margin">
                <wp:align>center</wp:align>
              </wp:positionH>
              <wp:positionV relativeFrom="page">
                <wp:posOffset>353695</wp:posOffset>
              </wp:positionV>
              <wp:extent cx="6531610" cy="390525"/>
              <wp:effectExtent l="0" t="0" r="21590" b="28575"/>
              <wp:wrapSquare wrapText="bothSides"/>
              <wp:docPr id="197" name="Rectángulo 197"/>
              <wp:cNvGraphicFramePr/>
              <a:graphic xmlns:a="http://schemas.openxmlformats.org/drawingml/2006/main">
                <a:graphicData uri="http://schemas.microsoft.com/office/word/2010/wordprocessingShape">
                  <wps:wsp>
                    <wps:cNvSpPr/>
                    <wps:spPr>
                      <a:xfrm>
                        <a:off x="0" y="0"/>
                        <a:ext cx="6531610" cy="390525"/>
                      </a:xfrm>
                      <a:prstGeom prst="rect">
                        <a:avLst/>
                      </a:prstGeom>
                      <a:solidFill>
                        <a:srgbClr val="70AD47">
                          <a:lumMod val="75000"/>
                        </a:srgbClr>
                      </a:solidFill>
                      <a:ln w="12700" cap="flat" cmpd="sng" algn="ctr">
                        <a:solidFill>
                          <a:srgbClr val="E7E6E6">
                            <a:lumMod val="50000"/>
                          </a:srgbClr>
                        </a:solidFill>
                        <a:prstDash val="solid"/>
                        <a:miter lim="800000"/>
                      </a:ln>
                      <a:effectLst/>
                    </wps:spPr>
                    <wps:txbx>
                      <w:txbxContent>
                        <w:p w:rsidR="00016906" w:rsidRPr="00D138BB" w:rsidRDefault="006E4779"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EndPr/>
                            <w:sdtContent>
                              <w:r w:rsidR="00016906" w:rsidRPr="00D138BB">
                                <w:rPr>
                                  <w:rFonts w:ascii="Arial Narrow" w:hAnsi="Arial Narrow"/>
                                  <w:caps/>
                                  <w:color w:val="000000" w:themeColor="text1"/>
                                  <w:sz w:val="24"/>
                                  <w:szCs w:val="24"/>
                                  <w:highlight w:val="lightGray"/>
                                </w:rPr>
                                <w:t>TRIBUNAL ELECTORAL DEL ESTADO.</w:t>
                              </w:r>
                            </w:sdtContent>
                          </w:sdt>
                        </w:p>
                        <w:p w:rsidR="00016906" w:rsidRPr="007D357F" w:rsidRDefault="00016906" w:rsidP="00D138BB">
                          <w:pPr>
                            <w:pStyle w:val="Encabezado"/>
                            <w:rPr>
                              <w:rFonts w:ascii="Arial Narrow" w:hAnsi="Arial Narrow"/>
                              <w:cap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C0BCD5" id="Rectángulo 197" o:spid="_x0000_s1026" style="position:absolute;margin-left:0;margin-top:27.85pt;width:514.3pt;height:30.75pt;z-index:-251657216;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" o:allowoverlap="f" fillcolor="#548235" strokecolor="#767171" strokeweight="1pt">
              <v:textbox>
                <w:txbxContent>
                  <w:p w:rsidR="00D138BB" w:rsidRPr="00D138BB" w:rsidRDefault="00D138BB"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Content>
                        <w:r w:rsidRPr="00D138BB">
                          <w:rPr>
                            <w:rFonts w:ascii="Arial Narrow" w:hAnsi="Arial Narrow"/>
                            <w:caps/>
                            <w:color w:val="000000" w:themeColor="text1"/>
                            <w:sz w:val="24"/>
                            <w:szCs w:val="24"/>
                            <w:highlight w:val="lightGray"/>
                          </w:rPr>
                          <w:t>TRIBUNAL ELECTORAL DEL ESTADO.</w:t>
                        </w:r>
                      </w:sdtContent>
                    </w:sdt>
                  </w:p>
                  <w:p w:rsidR="00D138BB" w:rsidRPr="007D357F" w:rsidRDefault="00D138BB" w:rsidP="00D138BB">
                    <w:pPr>
                      <w:pStyle w:val="Encabezado"/>
                      <w:rPr>
                        <w:rFonts w:ascii="Arial Narrow" w:hAnsi="Arial Narrow"/>
                        <w:caps/>
                        <w:color w:val="000000" w:themeColor="text1"/>
                      </w:rPr>
                    </w:pP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625B"/>
    <w:multiLevelType w:val="hybridMultilevel"/>
    <w:tmpl w:val="48648A7C"/>
    <w:lvl w:ilvl="0" w:tplc="2E3AB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CA34B0"/>
    <w:multiLevelType w:val="multilevel"/>
    <w:tmpl w:val="2838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790CFE"/>
    <w:multiLevelType w:val="hybridMultilevel"/>
    <w:tmpl w:val="CBF05F72"/>
    <w:lvl w:ilvl="0" w:tplc="42EEEF74">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F8789E"/>
    <w:multiLevelType w:val="multilevel"/>
    <w:tmpl w:val="408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CB09AA"/>
    <w:multiLevelType w:val="multilevel"/>
    <w:tmpl w:val="D1E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B2"/>
    <w:rsid w:val="00013EFB"/>
    <w:rsid w:val="00016906"/>
    <w:rsid w:val="00040C99"/>
    <w:rsid w:val="00050F34"/>
    <w:rsid w:val="00082EB8"/>
    <w:rsid w:val="000D6298"/>
    <w:rsid w:val="001164E6"/>
    <w:rsid w:val="00126444"/>
    <w:rsid w:val="00127D36"/>
    <w:rsid w:val="00133F5A"/>
    <w:rsid w:val="00155BE3"/>
    <w:rsid w:val="00174F6C"/>
    <w:rsid w:val="00242F0F"/>
    <w:rsid w:val="00281DFD"/>
    <w:rsid w:val="002B4073"/>
    <w:rsid w:val="002C3069"/>
    <w:rsid w:val="002E6440"/>
    <w:rsid w:val="00301C60"/>
    <w:rsid w:val="00321F5B"/>
    <w:rsid w:val="0035076B"/>
    <w:rsid w:val="00352765"/>
    <w:rsid w:val="003935EB"/>
    <w:rsid w:val="003C3D5D"/>
    <w:rsid w:val="003D5A2A"/>
    <w:rsid w:val="004079D7"/>
    <w:rsid w:val="00420638"/>
    <w:rsid w:val="00426058"/>
    <w:rsid w:val="00456790"/>
    <w:rsid w:val="004B2726"/>
    <w:rsid w:val="004E352F"/>
    <w:rsid w:val="00503159"/>
    <w:rsid w:val="00526723"/>
    <w:rsid w:val="005652D2"/>
    <w:rsid w:val="005830B8"/>
    <w:rsid w:val="00586E60"/>
    <w:rsid w:val="00592515"/>
    <w:rsid w:val="006128DC"/>
    <w:rsid w:val="00615990"/>
    <w:rsid w:val="00630202"/>
    <w:rsid w:val="006A2CAB"/>
    <w:rsid w:val="006B0354"/>
    <w:rsid w:val="006C4758"/>
    <w:rsid w:val="006E4730"/>
    <w:rsid w:val="006E4779"/>
    <w:rsid w:val="00791EA8"/>
    <w:rsid w:val="00796D94"/>
    <w:rsid w:val="007C6376"/>
    <w:rsid w:val="007F3612"/>
    <w:rsid w:val="00815567"/>
    <w:rsid w:val="00834E17"/>
    <w:rsid w:val="0084675D"/>
    <w:rsid w:val="00864C65"/>
    <w:rsid w:val="0088666E"/>
    <w:rsid w:val="008A31C5"/>
    <w:rsid w:val="008C0844"/>
    <w:rsid w:val="008C391B"/>
    <w:rsid w:val="008C68FD"/>
    <w:rsid w:val="008D19EF"/>
    <w:rsid w:val="008D660B"/>
    <w:rsid w:val="00941553"/>
    <w:rsid w:val="00976357"/>
    <w:rsid w:val="009856AE"/>
    <w:rsid w:val="009B5CCF"/>
    <w:rsid w:val="009E02B5"/>
    <w:rsid w:val="009F5370"/>
    <w:rsid w:val="00A11609"/>
    <w:rsid w:val="00A11B83"/>
    <w:rsid w:val="00AC55DA"/>
    <w:rsid w:val="00AE4EF7"/>
    <w:rsid w:val="00B04D4C"/>
    <w:rsid w:val="00B203E3"/>
    <w:rsid w:val="00B81153"/>
    <w:rsid w:val="00BB78B4"/>
    <w:rsid w:val="00C104D3"/>
    <w:rsid w:val="00C42F94"/>
    <w:rsid w:val="00C70DB0"/>
    <w:rsid w:val="00CA23F4"/>
    <w:rsid w:val="00CC5FA5"/>
    <w:rsid w:val="00D10A09"/>
    <w:rsid w:val="00D138BB"/>
    <w:rsid w:val="00D163FE"/>
    <w:rsid w:val="00D84559"/>
    <w:rsid w:val="00D93B33"/>
    <w:rsid w:val="00D97A7D"/>
    <w:rsid w:val="00DC59B2"/>
    <w:rsid w:val="00DD2CD2"/>
    <w:rsid w:val="00E002B8"/>
    <w:rsid w:val="00E7178C"/>
    <w:rsid w:val="00E805FF"/>
    <w:rsid w:val="00F13F04"/>
    <w:rsid w:val="00F54112"/>
    <w:rsid w:val="00F55FDC"/>
    <w:rsid w:val="00F8086B"/>
    <w:rsid w:val="00F84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E2D2E-76D4-4784-B482-5EDBF15A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9B2"/>
    <w:pPr>
      <w:ind w:left="720"/>
      <w:contextualSpacing/>
    </w:pPr>
  </w:style>
  <w:style w:type="table" w:styleId="Tablaconcuadrcula">
    <w:name w:val="Table Grid"/>
    <w:basedOn w:val="Tablanormal"/>
    <w:uiPriority w:val="39"/>
    <w:rsid w:val="00DC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9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C59B2"/>
  </w:style>
  <w:style w:type="character" w:styleId="nfasis">
    <w:name w:val="Emphasis"/>
    <w:basedOn w:val="Fuentedeprrafopredeter"/>
    <w:uiPriority w:val="20"/>
    <w:qFormat/>
    <w:rsid w:val="00DC59B2"/>
    <w:rPr>
      <w:i/>
      <w:iCs/>
    </w:rPr>
  </w:style>
  <w:style w:type="paragraph" w:customStyle="1" w:styleId="Default">
    <w:name w:val="Default"/>
    <w:rsid w:val="00DC59B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D13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8BB"/>
  </w:style>
  <w:style w:type="paragraph" w:styleId="Piedepgina">
    <w:name w:val="footer"/>
    <w:basedOn w:val="Normal"/>
    <w:link w:val="PiedepginaCar"/>
    <w:uiPriority w:val="99"/>
    <w:unhideWhenUsed/>
    <w:rsid w:val="00D13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8BB"/>
  </w:style>
  <w:style w:type="paragraph" w:styleId="Textodeglobo">
    <w:name w:val="Balloon Text"/>
    <w:basedOn w:val="Normal"/>
    <w:link w:val="TextodegloboCar"/>
    <w:uiPriority w:val="99"/>
    <w:semiHidden/>
    <w:unhideWhenUsed/>
    <w:rsid w:val="006A2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acg.gob.mx/wp-content/uploads/saacg_disenio.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6634</Words>
  <Characters>36487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TRIBUNAL ELECTORAL DEL ESTADO.</vt:lpstr>
    </vt:vector>
  </TitlesOfParts>
  <Company/>
  <LinksUpToDate>false</LinksUpToDate>
  <CharactersWithSpaces>43035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ESTADO.</dc:title>
  <dc:subject/>
  <dc:creator>acer1234</dc:creator>
  <cp:keywords/>
  <dc:description/>
  <cp:lastModifiedBy>allinone2314</cp:lastModifiedBy>
  <cp:revision>6</cp:revision>
  <cp:lastPrinted>2021-03-18T02:00:00Z</cp:lastPrinted>
  <dcterms:created xsi:type="dcterms:W3CDTF">2021-01-27T19:36:00Z</dcterms:created>
  <dcterms:modified xsi:type="dcterms:W3CDTF">2021-03-18T02:11:00Z</dcterms:modified>
</cp:coreProperties>
</file>